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7A860F">
      <w:pPr>
        <w:ind w:firstLine="0" w:firstLineChars="0"/>
        <w:rPr>
          <w:rFonts w:hint="eastAsia" w:asciiTheme="majorEastAsia" w:hAnsiTheme="majorEastAsia" w:eastAsiaTheme="majorEastAsia"/>
          <w:b/>
          <w:bCs/>
          <w:sz w:val="28"/>
          <w:szCs w:val="28"/>
        </w:rPr>
      </w:pPr>
      <w:r>
        <w:rPr>
          <w:rFonts w:hint="eastAsia" w:asciiTheme="majorEastAsia" w:hAnsiTheme="majorEastAsia" w:eastAsiaTheme="majorEastAsia"/>
          <w:b/>
          <w:bCs/>
          <w:sz w:val="28"/>
          <w:szCs w:val="28"/>
        </w:rPr>
        <w:t>“</w:t>
      </w:r>
      <w:r>
        <w:rPr>
          <w:rFonts w:asciiTheme="majorEastAsia" w:hAnsiTheme="majorEastAsia" w:eastAsiaTheme="majorEastAsia"/>
          <w:b/>
          <w:bCs/>
          <w:sz w:val="28"/>
          <w:szCs w:val="28"/>
        </w:rPr>
        <w:t>布扎</w:t>
      </w:r>
      <w:r>
        <w:rPr>
          <w:rFonts w:hint="eastAsia" w:asciiTheme="majorEastAsia" w:hAnsiTheme="majorEastAsia" w:eastAsiaTheme="majorEastAsia"/>
          <w:b/>
          <w:bCs/>
          <w:sz w:val="28"/>
          <w:szCs w:val="28"/>
        </w:rPr>
        <w:t>”</w:t>
      </w:r>
      <w:r>
        <w:rPr>
          <w:rFonts w:asciiTheme="majorEastAsia" w:hAnsiTheme="majorEastAsia" w:eastAsiaTheme="majorEastAsia"/>
          <w:b/>
          <w:bCs/>
          <w:sz w:val="28"/>
          <w:szCs w:val="28"/>
        </w:rPr>
        <w:t>引入近代中国的另一种途径——</w:t>
      </w:r>
      <w:r>
        <w:rPr>
          <w:rFonts w:hint="eastAsia" w:asciiTheme="majorEastAsia" w:hAnsiTheme="majorEastAsia" w:eastAsiaTheme="majorEastAsia"/>
          <w:b/>
          <w:bCs/>
          <w:sz w:val="28"/>
          <w:szCs w:val="28"/>
        </w:rPr>
        <w:t>义品公司于天津租界之实践</w:t>
      </w:r>
    </w:p>
    <w:p w14:paraId="63E29E59">
      <w:pPr>
        <w:ind w:firstLine="0" w:firstLineChars="0"/>
      </w:pPr>
      <w:r>
        <w:t>An Alternative Pathway for the Introduction of "Beaux-Arts" to Modern China: The Practice of Crédit Foncier d’Extrême-Orient in Tianjin Concession</w:t>
      </w:r>
      <w:r>
        <w:rPr>
          <w:rFonts w:hint="eastAsia"/>
        </w:rPr>
        <w:t>s</w:t>
      </w:r>
    </w:p>
    <w:p w14:paraId="09058359">
      <w:pPr>
        <w:ind w:firstLine="0" w:firstLineChars="0"/>
      </w:pPr>
    </w:p>
    <w:p w14:paraId="47ACA2BF">
      <w:pPr>
        <w:ind w:firstLine="480"/>
      </w:pPr>
      <w:r>
        <w:rPr>
          <w:rFonts w:hint="eastAsia"/>
        </w:rPr>
        <w:t>摘要：中国建筑近代化与西方思潮的传入紧密相连，“布扎”即巴黎美术学院体系的引入是重要节点。当前研究多集中于近代留美建筑师与美国“布扎”对中国近代建筑的影响，而此前的法国“布扎”对中国建筑体系之影响鲜有讨论。研究基于法国、比利时一手档案，以天津租界义品公司的欧洲学院派建筑师为例，从“布扎”体系的教育、风格、职业体制三方面切入，剖析法国“布扎”如何影响中国近代建筑，并与美国“布扎”进行对比。研究拟论证“布扎”建筑师及其作品原发性、以天津为代表的开埠城市接纳外来建筑风格的先导性与多样性，揭示“布扎”进入中国的另一条途径，从而为其建立新语境，以期丰富近代建筑史研究视角，为近现代建筑遗产价值评估提供佐证线索。</w:t>
      </w:r>
    </w:p>
    <w:p w14:paraId="07D0138B">
      <w:pPr>
        <w:ind w:firstLine="480"/>
      </w:pPr>
      <w:r>
        <w:t>Abstract:</w:t>
      </w:r>
      <w:r>
        <w:rPr>
          <w:rFonts w:ascii="Helvetica" w:hAnsi="Helvetica" w:cs="Helvetica"/>
          <w:color w:val="060607"/>
          <w:spacing w:val="4"/>
          <w:sz w:val="21"/>
          <w:szCs w:val="21"/>
          <w:shd w:val="clear" w:color="auto" w:fill="FFFFFF"/>
        </w:rPr>
        <w:t xml:space="preserve"> </w:t>
      </w:r>
      <w:r>
        <w:t>The modernization of Chinese architecture is closely associated with Western architectural trends, notably the introduction of the "Beaux-Arts" system from the École des Beaux-Arts in Paris. Existing research mainly addresses the impact of American "Beaux-Arts" on modern Chinese architecture through the first generation of Chinese architects educated in the U.S., while the influence of French "Beaux-Arts" prior to its American transmission is less discussed. Utilizing primary archives from France and Belgium, this study focuses on the European academic architects of Crédit Foncier d’Extrême-Orient in Tianjin, analyzing how French "Beaux-Arts" influenced modern Chinese architecture from educational, stylistic, and professional viewpoints, and comparing it with American "Beaux-Arts". The study aims to demonstrate the originality of "Beaux-Arts" architects and their works, the pioneering role and diversity of port cities like Tianjin in embracing foreign architectural styles, and to reveal an alternative pathway for "Beaux-Arts" in China. This contributes to a new context for "Beaux-Arts", enriching the perspectives of modern architectural history research and providing evidence for the evaluation of modern architectural heritage.</w:t>
      </w:r>
    </w:p>
    <w:p w14:paraId="339C7F90">
      <w:pPr>
        <w:ind w:firstLine="480"/>
      </w:pPr>
      <w:r>
        <w:rPr>
          <w:rFonts w:hint="eastAsia"/>
        </w:rPr>
        <w:t>关键词：布扎 学院派 天津租界 义品公司 外国建筑师</w:t>
      </w:r>
    </w:p>
    <w:p w14:paraId="7639684E">
      <w:pPr>
        <w:ind w:firstLine="0" w:firstLineChars="0"/>
      </w:pPr>
    </w:p>
    <w:p w14:paraId="218ECB52">
      <w:pPr>
        <w:ind w:firstLine="480"/>
      </w:pPr>
      <w:r>
        <w:rPr>
          <w:rFonts w:hint="eastAsia"/>
        </w:rPr>
        <w:t>一、引言</w:t>
      </w:r>
    </w:p>
    <w:p w14:paraId="75448086">
      <w:pPr>
        <w:ind w:firstLine="480"/>
      </w:pPr>
      <w:r>
        <w:rPr>
          <w:rFonts w:hint="eastAsia"/>
        </w:rPr>
        <w:t>中国建筑的近代化与西方势力的进入密不可分，它起步于“门户开放”</w:t>
      </w:r>
      <w:r>
        <w:rPr>
          <w:rStyle w:val="14"/>
          <w:rFonts w:hint="eastAsia"/>
        </w:rPr>
        <w:t>[</w:t>
      </w:r>
      <w:r>
        <w:rPr>
          <w:rStyle w:val="14"/>
          <w:rFonts w:hint="eastAsia"/>
        </w:rPr>
        <w:endnoteReference w:id="0"/>
      </w:r>
      <w:r>
        <w:rPr>
          <w:rStyle w:val="14"/>
          <w:rFonts w:hint="eastAsia"/>
        </w:rPr>
        <w:t>]</w:t>
      </w:r>
      <w:r>
        <w:rPr>
          <w:rFonts w:hint="eastAsia"/>
        </w:rPr>
        <w:t>，“建筑”一词取代传统“营造学”，“建筑师”与“事务所”的萌芽与兴起为近代中国带来了西方工业革命余波影响下多样化的新建筑风格。自第一次鸦片战争至20世纪初，中国已有诸多开埠口岸城市，西方各国纷纷在华划定租界</w:t>
      </w:r>
      <w:r>
        <w:rPr>
          <w:rStyle w:val="14"/>
          <w:rFonts w:hint="eastAsia"/>
        </w:rPr>
        <w:t>[</w:t>
      </w:r>
      <w:r>
        <w:rPr>
          <w:rStyle w:val="14"/>
          <w:rFonts w:hint="eastAsia"/>
        </w:rPr>
        <w:endnoteReference w:id="1"/>
      </w:r>
      <w:r>
        <w:rPr>
          <w:rStyle w:val="14"/>
          <w:rFonts w:hint="eastAsia"/>
        </w:rPr>
        <w:t>]</w:t>
      </w:r>
      <w:r>
        <w:rPr>
          <w:rFonts w:hint="eastAsia"/>
        </w:rPr>
        <w:t>，推动着相应城市的建设。与此同时，世界建筑的探新和复古思潮正在兴起，法国巴黎美术学院（Ecole des Beaux-Arts）</w:t>
      </w:r>
      <w:r>
        <w:rPr>
          <w:rStyle w:val="14"/>
          <w:rFonts w:hint="eastAsia"/>
        </w:rPr>
        <w:t>[</w:t>
      </w:r>
      <w:r>
        <w:rPr>
          <w:rStyle w:val="14"/>
          <w:rFonts w:hint="eastAsia"/>
        </w:rPr>
        <w:endnoteReference w:id="2"/>
      </w:r>
      <w:r>
        <w:rPr>
          <w:rStyle w:val="14"/>
          <w:rFonts w:hint="eastAsia"/>
        </w:rPr>
        <w:t>]</w:t>
      </w:r>
      <w:r>
        <w:rPr>
          <w:rFonts w:hint="eastAsia"/>
        </w:rPr>
        <w:t>承袭以文艺复兴和古罗马建筑为范本</w:t>
      </w:r>
      <w:r>
        <w:rPr>
          <w:rStyle w:val="14"/>
          <w:rFonts w:hint="eastAsia"/>
        </w:rPr>
        <w:t>[</w:t>
      </w:r>
      <w:r>
        <w:rPr>
          <w:rStyle w:val="14"/>
          <w:rFonts w:hint="eastAsia"/>
        </w:rPr>
        <w:endnoteReference w:id="3"/>
      </w:r>
      <w:r>
        <w:rPr>
          <w:rStyle w:val="14"/>
          <w:rFonts w:hint="eastAsia"/>
        </w:rPr>
        <w:t>]</w:t>
      </w:r>
      <w:r>
        <w:rPr>
          <w:rFonts w:hint="eastAsia"/>
        </w:rPr>
        <w:t>的设计思想与教学宗旨，因崇尚古典与正统受到新兴资产阶级民族国家青睐，一度引领新古典主义成为法国乃至西方建筑的主导风格。此外，以宾夕法尼亚大学为代表的美国建筑教育，也随着1903年引入保罗.克瑞（Paul Philippe Cret，1876-1945）掀起了美国的“布扎”热潮，并通过中国第一代留美建筑师引入近代中国。</w:t>
      </w:r>
    </w:p>
    <w:p w14:paraId="7B66C262">
      <w:pPr>
        <w:ind w:firstLine="480"/>
      </w:pPr>
      <w:r>
        <w:rPr>
          <w:rFonts w:hint="eastAsia"/>
        </w:rPr>
        <w:t>谈及“布扎”，似乎已围绕“美国布扎-梁思成杨廷宝等</w:t>
      </w:r>
      <w:r>
        <w:rPr>
          <w:rStyle w:val="14"/>
          <w:rFonts w:hint="eastAsia"/>
        </w:rPr>
        <w:t>[</w:t>
      </w:r>
      <w:r>
        <w:rPr>
          <w:rStyle w:val="14"/>
          <w:rFonts w:hint="eastAsia"/>
        </w:rPr>
        <w:endnoteReference w:id="4"/>
      </w:r>
      <w:r>
        <w:rPr>
          <w:rStyle w:val="14"/>
          <w:rFonts w:hint="eastAsia"/>
        </w:rPr>
        <w:t>]</w:t>
      </w:r>
      <w:r>
        <w:rPr>
          <w:rFonts w:hint="eastAsia"/>
        </w:rPr>
        <w:t>-中国民族形式”这一路径形成一套独有的话语体系。目前学界对“庚子”留美的中国第一代建筑师以及他们的建筑设计和教育实践积累了丰富且系统的研究成果</w:t>
      </w:r>
      <w:r>
        <w:rPr>
          <w:rStyle w:val="14"/>
          <w:rFonts w:hint="eastAsia"/>
        </w:rPr>
        <w:t>[</w:t>
      </w:r>
      <w:r>
        <w:rPr>
          <w:rStyle w:val="14"/>
          <w:rFonts w:hint="eastAsia"/>
        </w:rPr>
        <w:endnoteReference w:id="5"/>
      </w:r>
      <w:r>
        <w:rPr>
          <w:rStyle w:val="14"/>
          <w:rFonts w:hint="eastAsia"/>
        </w:rPr>
        <w:t>]</w:t>
      </w:r>
      <w:r>
        <w:rPr>
          <w:rFonts w:hint="eastAsia"/>
        </w:rPr>
        <w:t>，多集中于“布扎”于美国的传播发展，以及美国“布扎”作为教育体系、构图与设计哲学对中国近代建筑教育与城市塑造的影响。然而，近代中国有诸多欧洲籍建筑师，毕业于学院派成熟期的巴黎美院或欧洲其它美院后，通过商人在租界的产业开发入职中国进行建筑设计实践。例如20世纪初天津法租界建设时期，规模最大、影响范围最广的房地产商义品公司(Crédit Foncier d’ExtrêmeOrient)</w:t>
      </w:r>
      <w:r>
        <w:rPr>
          <w:rStyle w:val="14"/>
          <w:rFonts w:hint="eastAsia"/>
        </w:rPr>
        <w:t>[</w:t>
      </w:r>
      <w:r>
        <w:rPr>
          <w:rStyle w:val="14"/>
          <w:rFonts w:hint="eastAsia"/>
        </w:rPr>
        <w:endnoteReference w:id="6"/>
      </w:r>
      <w:r>
        <w:rPr>
          <w:rStyle w:val="14"/>
          <w:rFonts w:hint="eastAsia"/>
        </w:rPr>
        <w:t>]</w:t>
      </w:r>
      <w:r>
        <w:rPr>
          <w:rFonts w:hint="eastAsia"/>
        </w:rPr>
        <w:t>，其名下的建筑师们代表学院派等西方建筑思潮，为法国在华</w:t>
      </w:r>
      <w:r>
        <w:rPr>
          <w:rStyle w:val="14"/>
          <w:rFonts w:hint="eastAsia"/>
        </w:rPr>
        <w:t>[</w:t>
      </w:r>
      <w:r>
        <w:rPr>
          <w:rStyle w:val="14"/>
          <w:rFonts w:hint="eastAsia"/>
        </w:rPr>
        <w:endnoteReference w:id="7"/>
      </w:r>
      <w:r>
        <w:rPr>
          <w:rStyle w:val="14"/>
          <w:rFonts w:hint="eastAsia"/>
        </w:rPr>
        <w:t>]</w:t>
      </w:r>
      <w:r>
        <w:rPr>
          <w:rFonts w:hint="eastAsia"/>
        </w:rPr>
        <w:t>实施了大量建筑项目。</w:t>
      </w:r>
    </w:p>
    <w:p w14:paraId="70C69601">
      <w:pPr>
        <w:ind w:firstLine="480"/>
      </w:pPr>
      <w:r>
        <w:rPr>
          <w:rFonts w:hint="eastAsia"/>
        </w:rPr>
        <w:t>若追溯法国布扎如何影响中国建筑体系，已有职业视角下的巴黎美术学院与近代中国建筑师特征探讨、留法建筑师群体研究、巴黎美院以门德尔松为例在天津法租界的影响探讨、西方建筑教育体系梳理和天津的建筑师职业化进程研究</w:t>
      </w:r>
      <w:r>
        <w:rPr>
          <w:rStyle w:val="14"/>
        </w:rPr>
        <w:t>[</w:t>
      </w:r>
      <w:r>
        <w:rPr>
          <w:rStyle w:val="14"/>
        </w:rPr>
        <w:endnoteReference w:id="8"/>
      </w:r>
      <w:r>
        <w:rPr>
          <w:rStyle w:val="14"/>
        </w:rPr>
        <w:t>]</w:t>
      </w:r>
      <w:r>
        <w:rPr>
          <w:rFonts w:hint="eastAsia"/>
        </w:rPr>
        <w:t>，对于义品公司本身的研究也基本成型</w:t>
      </w:r>
      <w:r>
        <w:rPr>
          <w:rStyle w:val="14"/>
          <w:rFonts w:hint="eastAsia"/>
        </w:rPr>
        <w:t>[</w:t>
      </w:r>
      <w:r>
        <w:rPr>
          <w:rStyle w:val="14"/>
          <w:rFonts w:hint="eastAsia"/>
        </w:rPr>
        <w:endnoteReference w:id="9"/>
      </w:r>
      <w:r>
        <w:rPr>
          <w:rStyle w:val="14"/>
          <w:rFonts w:hint="eastAsia"/>
        </w:rPr>
        <w:t>]</w:t>
      </w:r>
      <w:r>
        <w:rPr>
          <w:rFonts w:hint="eastAsia"/>
        </w:rPr>
        <w:t>。但既有研究多为以宏观角度解读义品公司发展历程亦或是对建筑师个人</w:t>
      </w:r>
      <w:r>
        <w:rPr>
          <w:rStyle w:val="14"/>
          <w:rFonts w:hint="eastAsia"/>
        </w:rPr>
        <w:t>[</w:t>
      </w:r>
      <w:r>
        <w:rPr>
          <w:rStyle w:val="14"/>
          <w:rFonts w:hint="eastAsia"/>
        </w:rPr>
        <w:endnoteReference w:id="10"/>
      </w:r>
      <w:r>
        <w:rPr>
          <w:rStyle w:val="14"/>
          <w:rFonts w:hint="eastAsia"/>
        </w:rPr>
        <w:t>]</w:t>
      </w:r>
      <w:r>
        <w:rPr>
          <w:rFonts w:hint="eastAsia"/>
        </w:rPr>
        <w:t>的背景、作品等微观解析，并未对“布扎体系”进行深入探究。由此可见，尽管“布扎”深度参与中国建筑的近代化，美国“布扎”与留美建筑师仍是当前主要议题，尚有大量在中国参与建筑实践的欧洲建筑师档案未被完全挖掘，尤其以法国本土建筑师为媒介的法国“布扎”如何影响中国近代建筑相关研究并未完全展开。</w:t>
      </w:r>
    </w:p>
    <w:p w14:paraId="0730B40B">
      <w:pPr>
        <w:ind w:firstLine="480"/>
      </w:pPr>
      <w:r>
        <w:rPr>
          <w:rFonts w:hint="eastAsia"/>
        </w:rPr>
        <w:t>在当前讨论中，“布扎”不再仅限于直译含义，它首先来源于巴黎美术学院及其教育体系，其次代表以该体系蕴含的设计哲学为基础发展起来的特定设计风格，另外也可指代某</w:t>
      </w:r>
      <w:r>
        <w:t>种</w:t>
      </w:r>
      <w:r>
        <w:rPr>
          <w:rFonts w:hint="eastAsia"/>
        </w:rPr>
        <w:t>“</w:t>
      </w:r>
      <w:r>
        <w:t>历史上曾服务于法兰西社会的职业体制</w:t>
      </w:r>
      <w:r>
        <w:rPr>
          <w:rFonts w:hint="eastAsia"/>
        </w:rPr>
        <w:t>”</w:t>
      </w:r>
      <w:r>
        <w:rPr>
          <w:rStyle w:val="14"/>
          <w:rFonts w:hint="eastAsia"/>
        </w:rPr>
        <w:t xml:space="preserve"> [</w:t>
      </w:r>
      <w:r>
        <w:rPr>
          <w:rStyle w:val="14"/>
          <w:rFonts w:hint="eastAsia"/>
        </w:rPr>
        <w:endnoteReference w:id="11"/>
      </w:r>
      <w:r>
        <w:rPr>
          <w:rStyle w:val="14"/>
          <w:rFonts w:hint="eastAsia"/>
        </w:rPr>
        <w:t>]</w:t>
      </w:r>
      <w:r>
        <w:t>。</w:t>
      </w:r>
      <w:r>
        <w:rPr>
          <w:rFonts w:hint="eastAsia"/>
        </w:rPr>
        <w:t>基于此，本文以比利时国家档案馆所藏32位义品公司建筑师个人档案以及法国南特外交档案中心的法租界史料为基础，以天津租界“布扎”体系建筑师及其所属房地产机构为切入点，剖析抵达美国之前，法国“布扎”的引入如何影响中国近代建筑，并与美国“布扎”体系进行对比。研究认为，教育体系是“布扎”萌生的基础；出身这一体系的建筑师在作品上将学院派手法传承演绎，呈现出与美国“布扎”在华不同的演化道路；“布扎”外化于义品公司的执业理念、方法以及与法租界当局的关联，决定了其服务于租界所属国意识形态的属性。</w:t>
      </w:r>
    </w:p>
    <w:p w14:paraId="04C5909F">
      <w:pPr>
        <w:ind w:firstLine="480"/>
      </w:pPr>
      <w:r>
        <w:rPr>
          <w:rFonts w:hint="eastAsia"/>
        </w:rPr>
        <w:t>天津是法国“布扎”以义品公司为媒介进行传播和演绎的典型场所</w:t>
      </w:r>
      <w:r>
        <w:rPr>
          <w:rStyle w:val="14"/>
        </w:rPr>
        <w:t>[</w:t>
      </w:r>
      <w:r>
        <w:rPr>
          <w:rStyle w:val="14"/>
        </w:rPr>
        <w:endnoteReference w:id="12"/>
      </w:r>
      <w:r>
        <w:rPr>
          <w:rStyle w:val="14"/>
        </w:rPr>
        <w:t>]</w:t>
      </w:r>
      <w:r>
        <w:rPr>
          <w:rFonts w:hint="eastAsia"/>
        </w:rPr>
        <w:t>。作为近代法租界建设的最主要城市之一，天津相对较早地引入了学院派建筑师，是义品公司在华经营的起点，也是义品公司建筑师的主要实践舞台</w:t>
      </w:r>
      <w:r>
        <w:rPr>
          <w:rStyle w:val="14"/>
        </w:rPr>
        <w:t>[</w:t>
      </w:r>
      <w:r>
        <w:rPr>
          <w:rStyle w:val="14"/>
        </w:rPr>
        <w:endnoteReference w:id="13"/>
      </w:r>
      <w:r>
        <w:rPr>
          <w:rStyle w:val="14"/>
        </w:rPr>
        <w:t>]</w:t>
      </w:r>
      <w:r>
        <w:rPr>
          <w:rFonts w:hint="eastAsia"/>
        </w:rPr>
        <w:t>。因此，本文以天津为例，分析西方建筑师及其作品的原发性，论证以天津为代表的开埠城市接纳外来建筑风格的先导性与多样性，试图探索法国“布扎”进入中国的另一条途径，从而为法国“布扎”建立新语境。</w:t>
      </w:r>
    </w:p>
    <w:p w14:paraId="5142E35C">
      <w:pPr>
        <w:numPr>
          <w:ilvl w:val="0"/>
          <w:numId w:val="1"/>
        </w:numPr>
        <w:ind w:firstLine="480"/>
      </w:pPr>
      <w:r>
        <w:rPr>
          <w:rFonts w:hint="eastAsia"/>
        </w:rPr>
        <w:t>天津近代法国学院派建筑师的出现</w:t>
      </w:r>
    </w:p>
    <w:p w14:paraId="7AA51E5A">
      <w:pPr>
        <w:numPr>
          <w:ilvl w:val="0"/>
          <w:numId w:val="2"/>
        </w:numPr>
        <w:ind w:firstLine="480"/>
      </w:pPr>
      <w:r>
        <w:rPr>
          <w:rFonts w:hint="eastAsia"/>
        </w:rPr>
        <w:t>职业建筑师抵津前夕</w:t>
      </w:r>
    </w:p>
    <w:p w14:paraId="4C998A5A">
      <w:pPr>
        <w:ind w:firstLine="420" w:firstLineChars="0"/>
        <w:rPr>
          <w:rFonts w:hint="eastAsia" w:ascii="华文细黑" w:hAnsi="华文细黑" w:eastAsia="华文细黑" w:cs="华文细黑"/>
          <w:b/>
          <w:bCs/>
        </w:rPr>
      </w:pPr>
      <w:r>
        <w:rPr>
          <w:rFonts w:hint="eastAsia"/>
        </w:rPr>
        <w:t>法国在中国的活动始于以西方传教士为主的宗教行为。自明清以来，传教士就通过“上层路线”</w:t>
      </w:r>
      <w:r>
        <w:rPr>
          <w:rStyle w:val="14"/>
          <w:rFonts w:hint="eastAsia"/>
        </w:rPr>
        <w:t>[</w:t>
      </w:r>
      <w:r>
        <w:rPr>
          <w:rStyle w:val="14"/>
          <w:rFonts w:hint="eastAsia"/>
        </w:rPr>
        <w:endnoteReference w:id="14"/>
      </w:r>
      <w:r>
        <w:rPr>
          <w:rStyle w:val="14"/>
          <w:rFonts w:hint="eastAsia"/>
        </w:rPr>
        <w:t>]</w:t>
      </w:r>
      <w:r>
        <w:rPr>
          <w:rFonts w:hint="eastAsia"/>
        </w:rPr>
        <w:t>在中国传教。雷孝思(</w:t>
      </w:r>
      <w:r>
        <w:t>Jean Baptiste Regis</w:t>
      </w:r>
      <w:r>
        <w:rPr>
          <w:rFonts w:hint="eastAsia"/>
        </w:rPr>
        <w:t>，1663-1738)、白晋(</w:t>
      </w:r>
      <w:r>
        <w:t>Joachim Bouvet</w:t>
      </w:r>
      <w:r>
        <w:rPr>
          <w:rFonts w:hint="eastAsia"/>
        </w:rPr>
        <w:t>，1656-1730)、杜德美(</w:t>
      </w:r>
      <w:r>
        <w:t>Pierre Jartoux</w:t>
      </w:r>
      <w:r>
        <w:rPr>
          <w:rFonts w:hint="eastAsia"/>
        </w:rPr>
        <w:t>，1669-1720)于1708年（康熙47年），奉谕测绘万里长城位置以及附近河道；雷孝思等</w:t>
      </w:r>
      <w:r>
        <w:rPr>
          <w:rStyle w:val="14"/>
        </w:rPr>
        <w:t>[</w:t>
      </w:r>
      <w:r>
        <w:rPr>
          <w:rStyle w:val="14"/>
        </w:rPr>
        <w:endnoteReference w:id="15"/>
      </w:r>
      <w:r>
        <w:rPr>
          <w:rStyle w:val="14"/>
        </w:rPr>
        <w:t>]</w:t>
      </w:r>
      <w:r>
        <w:rPr>
          <w:rFonts w:hint="eastAsia"/>
        </w:rPr>
        <w:t>于康熙57年完成了各省地图的测绘，绘图工作基本由耶稣会士担任，并最终汇集成共32幅的《皇舆全览图》；郎世宁(</w:t>
      </w:r>
      <w:r>
        <w:t>Giuseppe Castiglione</w:t>
      </w:r>
      <w:r>
        <w:rPr>
          <w:rFonts w:hint="eastAsia"/>
        </w:rPr>
        <w:t>，1688-1766)于雍正年间参与圆明园的规划设计，负责绘制园林建设的蓝图，于乾隆年间担任圆明园西洋楼的建筑设计，还曾一度担任掌管皇家园林工作的</w:t>
      </w:r>
      <w:r>
        <w:fldChar w:fldCharType="begin"/>
      </w:r>
      <w:r>
        <w:instrText xml:space="preserve">HYPERLINK "https://zh.wikipedia.org/wiki/%E5%A5%89%E5%AE%B8%E8%8B%91" \o "奉宸苑"</w:instrText>
      </w:r>
      <w:r>
        <w:fldChar w:fldCharType="separate"/>
      </w:r>
      <w:r>
        <w:t>奉宸苑</w:t>
      </w:r>
      <w:r>
        <w:fldChar w:fldCharType="end"/>
      </w:r>
      <w:r>
        <w:t>卿一职</w:t>
      </w:r>
      <w:r>
        <w:rPr>
          <w:rStyle w:val="14"/>
        </w:rPr>
        <w:t>[</w:t>
      </w:r>
      <w:r>
        <w:rPr>
          <w:rStyle w:val="14"/>
        </w:rPr>
        <w:endnoteReference w:id="16"/>
      </w:r>
      <w:r>
        <w:rPr>
          <w:rStyle w:val="14"/>
        </w:rPr>
        <w:t>]</w:t>
      </w:r>
      <w:r>
        <w:rPr>
          <w:rFonts w:hint="eastAsia"/>
        </w:rPr>
        <w:t>；蒋友仁(</w:t>
      </w:r>
      <w:r>
        <w:t>Michel Benoist</w:t>
      </w:r>
      <w:r>
        <w:rPr>
          <w:rFonts w:hint="eastAsia"/>
        </w:rPr>
        <w:t>，1735-1796)于乾隆12年任命为圆明园“大水法”的设计者。工程能力与艺术修养成为了历来多数传教士的必备素质。</w:t>
      </w:r>
    </w:p>
    <w:p w14:paraId="24DA4A0F">
      <w:pPr>
        <w:ind w:firstLine="420" w:firstLineChars="0"/>
      </w:pPr>
      <w:r>
        <w:rPr>
          <w:rFonts w:hint="eastAsia"/>
        </w:rPr>
        <w:t>直至19世纪下半叶，法租界的划定仍未改变天津以传教士的为主的建设主体。1861年租界划定之初，传教士为主的法国侨民聚居于天津老城东北部</w:t>
      </w:r>
      <w:r>
        <w:rPr>
          <w:rStyle w:val="14"/>
          <w:rFonts w:hint="eastAsia"/>
        </w:rPr>
        <w:t>[</w:t>
      </w:r>
      <w:r>
        <w:rPr>
          <w:rStyle w:val="14"/>
          <w:rFonts w:hint="eastAsia"/>
        </w:rPr>
        <w:endnoteReference w:id="17"/>
      </w:r>
      <w:r>
        <w:rPr>
          <w:rStyle w:val="14"/>
          <w:rFonts w:hint="eastAsia"/>
        </w:rPr>
        <w:t>]</w:t>
      </w:r>
      <w:r>
        <w:rPr>
          <w:rFonts w:hint="eastAsia"/>
        </w:rPr>
        <w:t>的三岔河口地区，并在该处修建了望海楼教堂以继续扩张传教范围，直至1870年天津教案</w:t>
      </w:r>
      <w:r>
        <w:rPr>
          <w:rStyle w:val="14"/>
          <w:rFonts w:hint="eastAsia"/>
        </w:rPr>
        <w:t>[</w:t>
      </w:r>
      <w:r>
        <w:rPr>
          <w:rStyle w:val="14"/>
          <w:rFonts w:hint="eastAsia"/>
        </w:rPr>
        <w:endnoteReference w:id="18"/>
      </w:r>
      <w:r>
        <w:rPr>
          <w:rStyle w:val="14"/>
          <w:rFonts w:hint="eastAsia"/>
        </w:rPr>
        <w:t>]</w:t>
      </w:r>
      <w:r>
        <w:rPr>
          <w:rFonts w:hint="eastAsia"/>
        </w:rPr>
        <w:t>才迫使法国侨民迁入租界，开始租界内建设。设计与主持工作多来自于教父等非职业人员，由中国本土工匠进行建造。此时的“西式建筑”多为适应当地环境与传教功能的改良性建筑风格。担任道路测量师</w:t>
      </w:r>
      <w:r>
        <w:rPr>
          <w:rStyle w:val="14"/>
          <w:rFonts w:hint="eastAsia"/>
        </w:rPr>
        <w:t>[</w:t>
      </w:r>
      <w:r>
        <w:rPr>
          <w:rStyle w:val="14"/>
          <w:rFonts w:hint="eastAsia"/>
        </w:rPr>
        <w:endnoteReference w:id="19"/>
      </w:r>
      <w:r>
        <w:rPr>
          <w:rStyle w:val="14"/>
          <w:rFonts w:hint="eastAsia"/>
        </w:rPr>
        <w:t>]</w:t>
      </w:r>
      <w:r>
        <w:rPr>
          <w:rFonts w:hint="eastAsia"/>
        </w:rPr>
        <w:t>的工部局官员承担租界的基础建设，如吹填土地、修筑堤坝、铺设道路、挖掘水渠</w:t>
      </w:r>
      <w:r>
        <w:rPr>
          <w:rStyle w:val="14"/>
          <w:rFonts w:hint="eastAsia"/>
        </w:rPr>
        <w:t>[</w:t>
      </w:r>
      <w:r>
        <w:rPr>
          <w:rStyle w:val="14"/>
          <w:rFonts w:hint="eastAsia"/>
        </w:rPr>
        <w:endnoteReference w:id="20"/>
      </w:r>
      <w:r>
        <w:rPr>
          <w:rStyle w:val="14"/>
          <w:rFonts w:hint="eastAsia"/>
        </w:rPr>
        <w:t>]</w:t>
      </w:r>
      <w:r>
        <w:rPr>
          <w:rFonts w:hint="eastAsia"/>
        </w:rPr>
        <w:t>等。租界内此时诞生的主要公共建筑如紫竹林教堂、第二代法国领事馆</w:t>
      </w:r>
      <w:r>
        <w:rPr>
          <w:rStyle w:val="14"/>
          <w:rFonts w:hint="eastAsia"/>
        </w:rPr>
        <w:t>[</w:t>
      </w:r>
      <w:r>
        <w:rPr>
          <w:rStyle w:val="14"/>
          <w:rFonts w:hint="eastAsia"/>
        </w:rPr>
        <w:endnoteReference w:id="21"/>
      </w:r>
      <w:r>
        <w:rPr>
          <w:rStyle w:val="14"/>
          <w:rFonts w:hint="eastAsia"/>
        </w:rPr>
        <w:t>]</w:t>
      </w:r>
      <w:r>
        <w:rPr>
          <w:rFonts w:hint="eastAsia"/>
        </w:rPr>
        <w:t>等均出自传教士与政府人员，洋行商人的缺乏使得职业建筑师团体尚未在天津法租界拥有施展的机会，侨民迁入初期的法租界也在不温不火地按需建设。因此在整个19世纪，建筑设计者多为传教士、工部局技师，或有一定建筑知识的殖民探险者</w:t>
      </w:r>
      <w:r>
        <w:rPr>
          <w:rStyle w:val="14"/>
          <w:rFonts w:hint="eastAsia"/>
        </w:rPr>
        <w:t>[</w:t>
      </w:r>
      <w:r>
        <w:rPr>
          <w:rStyle w:val="14"/>
          <w:rFonts w:hint="eastAsia"/>
        </w:rPr>
        <w:endnoteReference w:id="22"/>
      </w:r>
      <w:r>
        <w:rPr>
          <w:rStyle w:val="14"/>
          <w:rFonts w:hint="eastAsia"/>
        </w:rPr>
        <w:t>]</w:t>
      </w:r>
      <w:r>
        <w:rPr>
          <w:rFonts w:hint="eastAsia"/>
        </w:rPr>
        <w:t>，仅有少数基础工程师的参与。</w:t>
      </w:r>
    </w:p>
    <w:p w14:paraId="193E8ED5">
      <w:pPr>
        <w:ind w:firstLine="420" w:firstLineChars="0"/>
      </w:pPr>
      <w:r>
        <w:rPr>
          <w:rFonts w:hint="eastAsia"/>
        </w:rPr>
        <w:t>2.义品公司与学院派职业建筑师</w:t>
      </w:r>
    </w:p>
    <w:p w14:paraId="1223DDBA">
      <w:pPr>
        <w:ind w:firstLine="420" w:firstLineChars="0"/>
        <w:rPr>
          <w:rFonts w:hint="eastAsia" w:ascii="华文细黑" w:hAnsi="华文细黑" w:eastAsia="华文细黑" w:cs="华文细黑"/>
        </w:rPr>
      </w:pPr>
      <w:r>
        <w:rPr>
          <w:rFonts w:hint="eastAsia"/>
        </w:rPr>
        <w:t>法租界“商业”的兴起为其迎来了学院派的建筑师群体。1900年庚子事变</w:t>
      </w:r>
      <w:r>
        <w:rPr>
          <w:rStyle w:val="14"/>
          <w:rFonts w:hint="eastAsia"/>
        </w:rPr>
        <w:t>[</w:t>
      </w:r>
      <w:r>
        <w:rPr>
          <w:rStyle w:val="14"/>
          <w:rFonts w:hint="eastAsia"/>
        </w:rPr>
        <w:endnoteReference w:id="23"/>
      </w:r>
      <w:r>
        <w:rPr>
          <w:rStyle w:val="14"/>
          <w:rFonts w:hint="eastAsia"/>
        </w:rPr>
        <w:t>]</w:t>
      </w:r>
      <w:r>
        <w:rPr>
          <w:rFonts w:hint="eastAsia"/>
        </w:rPr>
        <w:t>后，英、法租界放宽华人居住的限制，并建立起清晰的房地产交易程序与管理制度，房地产迅速商品化</w:t>
      </w:r>
      <w:r>
        <w:rPr>
          <w:rStyle w:val="14"/>
          <w:rFonts w:hint="eastAsia"/>
        </w:rPr>
        <w:t>[</w:t>
      </w:r>
      <w:r>
        <w:rPr>
          <w:rStyle w:val="14"/>
          <w:rFonts w:hint="eastAsia"/>
        </w:rPr>
        <w:endnoteReference w:id="24"/>
      </w:r>
      <w:r>
        <w:rPr>
          <w:rStyle w:val="14"/>
          <w:rFonts w:hint="eastAsia"/>
        </w:rPr>
        <w:t>]</w:t>
      </w:r>
      <w:r>
        <w:rPr>
          <w:rFonts w:hint="eastAsia"/>
        </w:rPr>
        <w:t>。随八国联军入侵天津的海军军官欧艾叶（Jeam O’Neil）、吉孟（Charles Gimon）和布尔布隆（Henri Bourboulon）成为房地产商，并于1906年接收了天主教会名下的全部房产</w:t>
      </w:r>
      <w:r>
        <w:rPr>
          <w:rStyle w:val="14"/>
          <w:rFonts w:hint="eastAsia"/>
        </w:rPr>
        <w:t>[</w:t>
      </w:r>
      <w:r>
        <w:rPr>
          <w:rStyle w:val="14"/>
          <w:rFonts w:hint="eastAsia"/>
        </w:rPr>
        <w:endnoteReference w:id="25"/>
      </w:r>
      <w:r>
        <w:rPr>
          <w:rStyle w:val="14"/>
          <w:rFonts w:hint="eastAsia"/>
        </w:rPr>
        <w:t>]</w:t>
      </w:r>
      <w:r>
        <w:rPr>
          <w:rFonts w:hint="eastAsia"/>
        </w:rPr>
        <w:t>，积累了最初资本。建筑师查理（Henri Charrey，1878 - 1954）和康沃西（Marcel Conversy，1878 - 1949）于1902年于天津开办沙德利工程司（Charry&amp;</w:t>
      </w:r>
      <w:r>
        <w:t xml:space="preserve"> </w:t>
      </w:r>
      <w:r>
        <w:rPr>
          <w:rFonts w:hint="eastAsia"/>
        </w:rPr>
        <w:t>Conversy</w:t>
      </w:r>
      <w:r>
        <w:t xml:space="preserve"> architects</w:t>
      </w:r>
      <w:r>
        <w:rPr>
          <w:rFonts w:hint="eastAsia"/>
        </w:rPr>
        <w:t>），承接建筑设计与测绘等项目。1907年在法租界与其它七国租界</w:t>
      </w:r>
      <w:r>
        <w:rPr>
          <w:rStyle w:val="14"/>
          <w:rFonts w:hint="eastAsia"/>
        </w:rPr>
        <w:t>[</w:t>
      </w:r>
      <w:r>
        <w:rPr>
          <w:rStyle w:val="14"/>
          <w:rFonts w:hint="eastAsia"/>
        </w:rPr>
        <w:endnoteReference w:id="26"/>
      </w:r>
      <w:r>
        <w:rPr>
          <w:rStyle w:val="14"/>
          <w:rFonts w:hint="eastAsia"/>
        </w:rPr>
        <w:t>]</w:t>
      </w:r>
      <w:r>
        <w:rPr>
          <w:rFonts w:hint="eastAsia"/>
        </w:rPr>
        <w:t>在津扩张达到稳定状态的契机之下，欧艾叶等人承接法比兴业银行天津分公司（Société FrancoBelge de Tientsin）</w:t>
      </w:r>
      <w:r>
        <w:rPr>
          <w:rStyle w:val="14"/>
          <w:rFonts w:hint="eastAsia"/>
        </w:rPr>
        <w:t>[</w:t>
      </w:r>
      <w:r>
        <w:rPr>
          <w:rStyle w:val="14"/>
          <w:rFonts w:hint="eastAsia"/>
        </w:rPr>
        <w:endnoteReference w:id="27"/>
      </w:r>
      <w:r>
        <w:rPr>
          <w:rStyle w:val="14"/>
          <w:rFonts w:hint="eastAsia"/>
        </w:rPr>
        <w:t>]</w:t>
      </w:r>
      <w:r>
        <w:rPr>
          <w:rFonts w:hint="eastAsia"/>
        </w:rPr>
        <w:t>，通过发行股票和债券运营，主要进行房地产交易和抵押放款业务，同年他们与查理和康沃西相识，并开始共同筹备义品公司的开业，1909年，沙德利工程司及其业务并入法比兴业银行旗下。1910年法比兴业银行更名为义品公司，成为了法租界内最大、影响范围最广的房地产公司，并接连在其它城市开设分公司</w:t>
      </w:r>
      <w:r>
        <w:rPr>
          <w:rStyle w:val="14"/>
          <w:rFonts w:hint="eastAsia"/>
        </w:rPr>
        <w:t>[</w:t>
      </w:r>
      <w:r>
        <w:rPr>
          <w:rStyle w:val="14"/>
          <w:rFonts w:hint="eastAsia"/>
        </w:rPr>
        <w:endnoteReference w:id="28"/>
      </w:r>
      <w:r>
        <w:rPr>
          <w:rStyle w:val="14"/>
          <w:rFonts w:hint="eastAsia"/>
        </w:rPr>
        <w:t>]</w:t>
      </w:r>
      <w:r>
        <w:rPr>
          <w:rFonts w:hint="eastAsia"/>
        </w:rPr>
        <w:t>，查理和康沃西为代表的建筑师任职于工程部，另有放款部、保险部、经租部和挂旗部，以承担天津法租界基本所有与房地产有关业务。此时，正值在法国古典主义学院派成熟发展并影响广泛的20世纪初期，法租界扩张基本完成、道路规划也基本定型，基础设施日趋完备、贸易逐渐繁荣</w:t>
      </w:r>
      <w:r>
        <w:rPr>
          <w:rStyle w:val="14"/>
          <w:rFonts w:hint="eastAsia"/>
        </w:rPr>
        <w:t>[</w:t>
      </w:r>
      <w:r>
        <w:rPr>
          <w:rStyle w:val="14"/>
          <w:rFonts w:hint="eastAsia"/>
        </w:rPr>
        <w:endnoteReference w:id="29"/>
      </w:r>
      <w:r>
        <w:rPr>
          <w:rStyle w:val="14"/>
          <w:rFonts w:hint="eastAsia"/>
        </w:rPr>
        <w:t>]</w:t>
      </w:r>
      <w:r>
        <w:rPr>
          <w:rFonts w:hint="eastAsia"/>
        </w:rPr>
        <w:t>，法国为主的欧洲职业建筑师在此“黄金时期”随着义品公司等法商的引入，逐渐取代传教士等成为了租界建设的主要力量，并迅速带来了法租界建设的高峰。</w:t>
      </w:r>
    </w:p>
    <w:p w14:paraId="0A7CE19E">
      <w:pPr>
        <w:ind w:firstLine="480"/>
      </w:pPr>
      <w:r>
        <w:rPr>
          <w:rFonts w:hint="eastAsia"/>
        </w:rPr>
        <w:t>义品公司以其在法租界房地产业的基本垄断和业务的不断扩张吸引了诸多法国和比利时籍的专业建筑师，多数建筑师都曾参与天津的建设。比利时国家档案馆所藏义品公司详细档案中，包含共96位在华工作人员的个人档案</w:t>
      </w:r>
      <w:r>
        <w:rPr>
          <w:rStyle w:val="14"/>
          <w:rFonts w:hint="eastAsia"/>
        </w:rPr>
        <w:t>[</w:t>
      </w:r>
      <w:r>
        <w:rPr>
          <w:rStyle w:val="14"/>
          <w:rFonts w:hint="eastAsia"/>
        </w:rPr>
        <w:endnoteReference w:id="30"/>
      </w:r>
      <w:r>
        <w:rPr>
          <w:rStyle w:val="14"/>
          <w:rFonts w:hint="eastAsia"/>
        </w:rPr>
        <w:t>]</w:t>
      </w:r>
      <w:r>
        <w:rPr>
          <w:rFonts w:hint="eastAsia"/>
        </w:rPr>
        <w:t>，这些人员遍布义品公司的天津、上海、汉口、香港、北京、济南等分部，其中32位建筑师与工程师类人员当中，有14位曾任职于天津分部（图1）。1912年天津和北京发生“壬子兵变”</w:t>
      </w:r>
      <w:r>
        <w:rPr>
          <w:rStyle w:val="14"/>
          <w:rFonts w:hint="eastAsia"/>
        </w:rPr>
        <w:t>[</w:t>
      </w:r>
      <w:r>
        <w:rPr>
          <w:rStyle w:val="14"/>
          <w:rFonts w:hint="eastAsia"/>
        </w:rPr>
        <w:endnoteReference w:id="31"/>
      </w:r>
      <w:r>
        <w:rPr>
          <w:rStyle w:val="14"/>
          <w:rFonts w:hint="eastAsia"/>
        </w:rPr>
        <w:t>]</w:t>
      </w:r>
      <w:r>
        <w:rPr>
          <w:rFonts w:hint="eastAsia"/>
        </w:rPr>
        <w:t>后不久，许多中国商绅移居到租界内避难并买下土地</w:t>
      </w:r>
      <w:r>
        <w:rPr>
          <w:rStyle w:val="14"/>
          <w:rFonts w:hint="eastAsia"/>
        </w:rPr>
        <w:t>[</w:t>
      </w:r>
      <w:r>
        <w:rPr>
          <w:rStyle w:val="14"/>
          <w:rFonts w:hint="eastAsia"/>
        </w:rPr>
        <w:endnoteReference w:id="32"/>
      </w:r>
      <w:r>
        <w:rPr>
          <w:rStyle w:val="14"/>
          <w:rFonts w:hint="eastAsia"/>
        </w:rPr>
        <w:t>]</w:t>
      </w:r>
      <w:r>
        <w:rPr>
          <w:rFonts w:hint="eastAsia"/>
        </w:rPr>
        <w:t>。此时查理和康沃西天津分公司的总经理并承担工程部项目，面临着建筑师与制图人员的短缺问题。毕业于日内瓦美术学院（Ecole des Beaux-Arts）的查理于休假期间结识了日内瓦建筑师祖尔金登（Paul Zurkinden，？- 1914）并引荐至义品公司天津分部工作，然而1914年祖尔金登因病在天津去世，维尔梅克（Raoul Wielmaecker，1887-1973）、沃卡特（Gustave Volckaert，1888 - 1978）接替了他的工作，1916年京汉铁路建筑师普鲁尼奥（Armand Leon Pruniau，1882 - ？）也加入队伍，至1919年维尔梅克与普鲁尼奥合同到期后辞职，由范.威利克（Gabriel Van Wylick，1897-1964）接续。1922年，沃卡特暂时返回了故乡根特经营家庭建筑事务所，不久后范.威利克也被调任至汉口分公司。1923-24年，义品公司工程部建筑师职业分工开始了进一步的细化，出现了助理建筑师（Architecte-Adjoint）的岗位，刚上任不久的建筑师梅勒（Georges Maille，1897 - ？）与第一位担任助理建筑师的格劳尔斯（Maurice Grawels，1888 - 1925）在实际工作上仍然保持着同一等级，共同领导工程部，然而这一组合不可避免地出现了严重矛盾，以格劳尔斯病逝和梅勒的辞退而告终。同时工程部将建筑师吉辛（Jean Gysin，1898 - ？）提任至主管建筑师（Chef de Service）的岗位，与助理建筑师相互配合。1926年，吉辛调任至上海，不久后时任上海分公司工程部建筑师的门德尔松（Léo Mendelssohn，1894 - 1965）调任至天津担任起主管建筑师直至1931年离开，1934年，从根特归来的沃卡特担任主管建筑师直至1946年离开至香港分公司任职。此外，1925年、1928年先后入职的助理建筑师布瓦松（Louis Boisson）和米苏（Emile Missu）分别在门德尔松和沃卡特的调动与休假期间担任临时的主管建筑师以维持工程部的运转。这些建筑师们共同参与了义品公司在天津的绝大部分建设实践，并将布扎体系注入到城市发展中。</w:t>
      </w:r>
    </w:p>
    <w:p w14:paraId="3A716352">
      <w:pPr>
        <w:ind w:firstLine="480"/>
        <w:rPr>
          <w:rFonts w:hint="eastAsia" w:ascii="华文细黑" w:hAnsi="华文细黑" w:eastAsia="华文细黑" w:cs="华文细黑"/>
          <w:b/>
          <w:bCs/>
          <w:szCs w:val="21"/>
        </w:rPr>
      </w:pPr>
      <w:r>
        <w:rPr>
          <w:rFonts w:hint="eastAsia" w:ascii="华文细黑" w:hAnsi="华文细黑" w:eastAsia="华文细黑" w:cs="华文细黑"/>
          <w:b/>
          <w:bCs/>
          <w:szCs w:val="21"/>
        </w:rPr>
        <w:drawing>
          <wp:inline distT="0" distB="0" distL="0" distR="0">
            <wp:extent cx="5260975" cy="2802890"/>
            <wp:effectExtent l="0" t="0" r="0" b="0"/>
            <wp:docPr id="204081331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813319" name="图片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5260975" cy="2802890"/>
                    </a:xfrm>
                    <a:prstGeom prst="rect">
                      <a:avLst/>
                    </a:prstGeom>
                    <a:noFill/>
                    <a:ln>
                      <a:noFill/>
                    </a:ln>
                  </pic:spPr>
                </pic:pic>
              </a:graphicData>
            </a:graphic>
          </wp:inline>
        </w:drawing>
      </w:r>
    </w:p>
    <w:p w14:paraId="6EA7FF4D">
      <w:pPr>
        <w:ind w:firstLine="480"/>
      </w:pPr>
      <w:r>
        <w:rPr>
          <w:rFonts w:hint="eastAsia" w:ascii="华文细黑" w:hAnsi="华文细黑" w:eastAsia="华文细黑" w:cs="华文细黑"/>
          <w:b/>
          <w:bCs/>
          <w:szCs w:val="21"/>
        </w:rPr>
        <w:t>图1：义品公司天津分公司建筑师人员分布时间轴</w:t>
      </w:r>
    </w:p>
    <w:p w14:paraId="17811638">
      <w:pPr>
        <w:ind w:firstLine="480"/>
      </w:pPr>
      <w:r>
        <w:rPr>
          <w:rFonts w:hint="eastAsia"/>
        </w:rPr>
        <w:t>三、“布扎”的引进与融入</w:t>
      </w:r>
    </w:p>
    <w:p w14:paraId="2823FD87">
      <w:pPr>
        <w:ind w:firstLine="480"/>
      </w:pPr>
      <w:r>
        <w:rPr>
          <w:rFonts w:hint="eastAsia"/>
        </w:rPr>
        <w:t>以近代天津义品公司为主的建筑师团体，作为巴黎美院体系的受教者和应用者，不仅将布扎适时直接引进中国开埠城市的营建，也并未一成不变地追随古典复兴，他们适应国际思潮，将布扎精神融入自身，灌注至后期具有新艺术、装饰艺术、现代主义等风格的其它作品当中并针对所处环境做出适应性改变。在天津这座多国实践的试验场上因地制宜，在门户开放的近代中国践行与美国布扎并行的另一条传播道路。</w:t>
      </w:r>
    </w:p>
    <w:p w14:paraId="05DBE2E3">
      <w:pPr>
        <w:numPr>
          <w:ilvl w:val="0"/>
          <w:numId w:val="3"/>
        </w:numPr>
        <w:ind w:firstLine="480"/>
      </w:pPr>
      <w:r>
        <w:rPr>
          <w:rFonts w:hint="eastAsia"/>
        </w:rPr>
        <w:t xml:space="preserve">作为教育体系的布扎——建筑师人员的原发性  </w:t>
      </w:r>
    </w:p>
    <w:p w14:paraId="44C5AE87">
      <w:pPr>
        <w:ind w:firstLine="420" w:firstLineChars="0"/>
      </w:pPr>
      <w:r>
        <w:rPr>
          <w:rFonts w:hint="eastAsia"/>
        </w:rPr>
        <w:t>从教育背景来看，义品公司的建筑师（图2）与布扎院校有着直接的关联（表1）。首先，毕业于巴黎美院的建筑师中，门德尔松曾获得该院校的最佳毕业生奖（Prix du Meilleur Diplôme）,并五次获得巴黎美术学院奖章建筑学第一名</w:t>
      </w:r>
      <w:r>
        <w:rPr>
          <w:rStyle w:val="14"/>
          <w:rFonts w:hint="eastAsia"/>
        </w:rPr>
        <w:t>[</w:t>
      </w:r>
      <w:r>
        <w:rPr>
          <w:rStyle w:val="14"/>
          <w:rFonts w:hint="eastAsia"/>
        </w:rPr>
        <w:endnoteReference w:id="33"/>
      </w:r>
      <w:r>
        <w:rPr>
          <w:rStyle w:val="14"/>
          <w:rFonts w:hint="eastAsia"/>
        </w:rPr>
        <w:t>]</w:t>
      </w:r>
      <w:r>
        <w:rPr>
          <w:rFonts w:hint="eastAsia"/>
        </w:rPr>
        <w:t>，他在天津担任主管建筑师的几年间设计了法国公议局大楼和法国俱乐部等重要作品，在30年代战争爆发前夕为义品公司创造了前所未有的收益</w:t>
      </w:r>
      <w:r>
        <w:rPr>
          <w:rStyle w:val="14"/>
          <w:rFonts w:hint="eastAsia"/>
        </w:rPr>
        <w:t>[</w:t>
      </w:r>
      <w:r>
        <w:rPr>
          <w:rStyle w:val="14"/>
          <w:rFonts w:hint="eastAsia"/>
        </w:rPr>
        <w:endnoteReference w:id="34"/>
      </w:r>
      <w:r>
        <w:rPr>
          <w:rStyle w:val="14"/>
          <w:rFonts w:hint="eastAsia"/>
        </w:rPr>
        <w:t>]</w:t>
      </w:r>
      <w:r>
        <w:rPr>
          <w:rFonts w:hint="eastAsia"/>
        </w:rPr>
        <w:t>。布瓦松则在门德尔松休假期间代替他管理工程部且广受好评</w:t>
      </w:r>
      <w:r>
        <w:rPr>
          <w:rStyle w:val="14"/>
          <w:rFonts w:hint="eastAsia"/>
        </w:rPr>
        <w:t>[</w:t>
      </w:r>
      <w:r>
        <w:rPr>
          <w:rStyle w:val="14"/>
          <w:rFonts w:hint="eastAsia"/>
        </w:rPr>
        <w:endnoteReference w:id="35"/>
      </w:r>
      <w:r>
        <w:rPr>
          <w:rStyle w:val="14"/>
          <w:rFonts w:hint="eastAsia"/>
        </w:rPr>
        <w:t>]</w:t>
      </w:r>
      <w:r>
        <w:rPr>
          <w:rFonts w:hint="eastAsia"/>
        </w:rPr>
        <w:t>。</w:t>
      </w:r>
    </w:p>
    <w:p w14:paraId="464DC937">
      <w:pPr>
        <w:ind w:firstLine="420" w:firstLineChars="0"/>
        <w:jc w:val="center"/>
        <w:rPr>
          <w:rFonts w:hint="eastAsia" w:ascii="华文细黑" w:hAnsi="华文细黑" w:eastAsia="华文细黑" w:cs="华文楷体"/>
          <w:b/>
          <w:bCs/>
          <w:lang w:val="en-US" w:eastAsia="zh-CN"/>
        </w:rPr>
      </w:pPr>
      <w:bookmarkStart w:id="0" w:name="_Hlk175730533"/>
      <w:r>
        <w:rPr>
          <w:rFonts w:hint="eastAsia" w:ascii="华文细黑" w:hAnsi="华文细黑" w:eastAsia="华文细黑" w:cs="华文楷体"/>
          <w:b/>
          <w:bCs/>
        </w:rPr>
        <w:t>表1：义品公司天津建筑师个人</w:t>
      </w:r>
      <w:bookmarkEnd w:id="0"/>
      <w:r>
        <w:rPr>
          <w:rFonts w:hint="eastAsia" w:ascii="华文细黑" w:hAnsi="华文细黑" w:eastAsia="华文细黑" w:cs="华文楷体"/>
          <w:b/>
          <w:bCs/>
          <w:lang w:val="en-US" w:eastAsia="zh-CN"/>
        </w:rPr>
        <w:t>信息</w:t>
      </w:r>
      <w:r>
        <w:rPr>
          <w:rFonts w:hint="eastAsia" w:ascii="华文细黑" w:hAnsi="华文细黑" w:eastAsia="华文细黑" w:cs="华文楷体"/>
          <w:b/>
          <w:bCs/>
          <w:lang w:val="en-US" w:eastAsia="zh-CN"/>
        </w:rPr>
        <w:drawing>
          <wp:inline distT="0" distB="0" distL="114300" distR="114300">
            <wp:extent cx="5083810" cy="6031230"/>
            <wp:effectExtent l="0" t="0" r="8890" b="1270"/>
            <wp:docPr id="1" name="图片 1" descr="表1 修改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表1 修改稿"/>
                    <pic:cNvPicPr>
                      <a:picLocks noChangeAspect="1"/>
                    </pic:cNvPicPr>
                  </pic:nvPicPr>
                  <pic:blipFill>
                    <a:blip r:embed="rId13"/>
                    <a:stretch>
                      <a:fillRect/>
                    </a:stretch>
                  </pic:blipFill>
                  <pic:spPr>
                    <a:xfrm>
                      <a:off x="0" y="0"/>
                      <a:ext cx="5083810" cy="6031230"/>
                    </a:xfrm>
                    <a:prstGeom prst="rect">
                      <a:avLst/>
                    </a:prstGeom>
                  </pic:spPr>
                </pic:pic>
              </a:graphicData>
            </a:graphic>
          </wp:inline>
        </w:drawing>
      </w:r>
      <w:bookmarkStart w:id="1" w:name="_GoBack"/>
      <w:bookmarkEnd w:id="1"/>
    </w:p>
    <w:p w14:paraId="6EB33AE8">
      <w:pPr>
        <w:ind w:firstLine="0" w:firstLineChars="0"/>
        <w:rPr>
          <w:b/>
          <w:bCs/>
        </w:rPr>
      </w:pPr>
      <w:r>
        <w:rPr>
          <w:rFonts w:hint="eastAsia"/>
          <w:b/>
          <w:bCs/>
        </w:rPr>
        <w:drawing>
          <wp:inline distT="0" distB="0" distL="0" distR="0">
            <wp:extent cx="5230495" cy="2978150"/>
            <wp:effectExtent l="0" t="0" r="1905" b="6350"/>
            <wp:docPr id="150007880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078802" name="图片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5230495" cy="2978150"/>
                    </a:xfrm>
                    <a:prstGeom prst="rect">
                      <a:avLst/>
                    </a:prstGeom>
                    <a:noFill/>
                    <a:ln>
                      <a:noFill/>
                    </a:ln>
                  </pic:spPr>
                </pic:pic>
              </a:graphicData>
            </a:graphic>
          </wp:inline>
        </w:drawing>
      </w:r>
    </w:p>
    <w:p w14:paraId="64783511">
      <w:pPr>
        <w:ind w:firstLine="420" w:firstLineChars="0"/>
        <w:rPr>
          <w:rFonts w:hint="eastAsia" w:ascii="华文细黑" w:hAnsi="华文细黑" w:eastAsia="华文细黑"/>
          <w:b/>
          <w:bCs/>
        </w:rPr>
      </w:pPr>
      <w:r>
        <w:rPr>
          <w:rFonts w:hint="eastAsia" w:ascii="华文细黑" w:hAnsi="华文细黑" w:eastAsia="华文细黑"/>
          <w:b/>
          <w:bCs/>
        </w:rPr>
        <w:t>图2：义品公司部分建筑师肖像</w:t>
      </w:r>
    </w:p>
    <w:p w14:paraId="43F15DB1">
      <w:pPr>
        <w:ind w:firstLine="420" w:firstLineChars="0"/>
      </w:pPr>
      <w:r>
        <w:rPr>
          <w:rFonts w:hint="eastAsia"/>
        </w:rPr>
        <w:t>其次，兼任创始人和总经理的查理和康沃西，以及助理建筑师吉辛均毕业于日内瓦的美术学院（École des Beaux-Arts de Genève）。18-19世纪的日内瓦美院与巴黎有着极强的联系。美院的教师例如首任校长皮埃尔·苏贝朗</w:t>
      </w:r>
      <w:r>
        <w:t>（Pierre Soubeyran</w:t>
      </w:r>
      <w:r>
        <w:rPr>
          <w:rFonts w:hint="eastAsia"/>
        </w:rPr>
        <w:t>，1709-1775）、詹姆斯·维伯特</w:t>
      </w:r>
      <w:r>
        <w:t> （James Vibert</w:t>
      </w:r>
      <w:r>
        <w:rPr>
          <w:rFonts w:hint="eastAsia"/>
        </w:rPr>
        <w:t>，1872-1942）教授、1850年担任美术学院院长的巴泰勒米·门恩 (Barthélemy Menn，1815-1893)</w:t>
      </w:r>
      <w:r>
        <w:fldChar w:fldCharType="begin"/>
      </w:r>
      <w:r>
        <w:instrText xml:space="preserve"> HYPERLINK "https://fr.wikipedia.org/wiki/Ferdinand_Hodler" \o "费迪南德·霍德勒" </w:instrText>
      </w:r>
      <w:r>
        <w:fldChar w:fldCharType="separate"/>
      </w:r>
      <w:r>
        <w:t xml:space="preserve"> </w:t>
      </w:r>
      <w:r>
        <w:fldChar w:fldCharType="end"/>
      </w:r>
      <w:r>
        <w:rPr>
          <w:rFonts w:hint="eastAsia"/>
        </w:rPr>
        <w:t>等大多有过巴黎的学习经历</w:t>
      </w:r>
      <w:r>
        <w:rPr>
          <w:rStyle w:val="14"/>
          <w:rFonts w:hint="eastAsia"/>
        </w:rPr>
        <w:t>[</w:t>
      </w:r>
      <w:r>
        <w:rPr>
          <w:rStyle w:val="14"/>
          <w:rFonts w:hint="eastAsia"/>
        </w:rPr>
        <w:endnoteReference w:id="36"/>
      </w:r>
      <w:r>
        <w:rPr>
          <w:rStyle w:val="14"/>
          <w:rFonts w:hint="eastAsia"/>
        </w:rPr>
        <w:t>]</w:t>
      </w:r>
      <w:r>
        <w:rPr>
          <w:rFonts w:hint="eastAsia"/>
        </w:rPr>
        <w:t>。</w:t>
      </w:r>
      <w:r>
        <w:fldChar w:fldCharType="begin"/>
      </w:r>
      <w:r>
        <w:instrText xml:space="preserve">HYPERLINK "https://fr.wikipedia.org/wiki/Ferdinand_Hodler" \o "费迪南德·霍德勒"</w:instrText>
      </w:r>
      <w:r>
        <w:fldChar w:fldCharType="separate"/>
      </w:r>
      <w:r>
        <w:t>门恩</w:t>
      </w:r>
      <w:r>
        <w:fldChar w:fldCharType="end"/>
      </w:r>
      <w:r>
        <w:rPr>
          <w:rFonts w:hint="eastAsia"/>
        </w:rPr>
        <w:t>也曾在1839-1843年间在巴黎举办展览、教授绘画课。从日内瓦美术学院毕业的学生也需要通过巴黎的展览等实践来认证自身的艺术水平与设计水准。例如门恩在日内瓦美院的学生爱德华·卡斯特雷 (Édouard Castres，1838-1902</w:t>
      </w:r>
      <w:r>
        <w:t> )</w:t>
      </w:r>
      <w:r>
        <w:rPr>
          <w:rFonts w:hint="eastAsia"/>
        </w:rPr>
        <w:t>、古斯塔夫·亨利·德·博蒙特 (Gustave Henri de Beaumont，1851-1922)等</w:t>
      </w:r>
      <w:r>
        <w:rPr>
          <w:rStyle w:val="14"/>
          <w:rFonts w:hint="eastAsia"/>
        </w:rPr>
        <w:t>[</w:t>
      </w:r>
      <w:r>
        <w:rPr>
          <w:rStyle w:val="14"/>
          <w:rFonts w:hint="eastAsia"/>
        </w:rPr>
        <w:endnoteReference w:id="37"/>
      </w:r>
      <w:r>
        <w:rPr>
          <w:rStyle w:val="14"/>
          <w:rFonts w:hint="eastAsia"/>
        </w:rPr>
        <w:t>]</w:t>
      </w:r>
      <w:r>
        <w:rPr>
          <w:rFonts w:hint="eastAsia"/>
        </w:rPr>
        <w:t>。日内瓦美院也不乏法国学生的存在，例如装饰艺术（Art-Deco）雕塑家皮埃尔.勒法盖斯（Pierre Camille Marie Le Faguays，1892-1962）和马塞尔·布赖恩</w:t>
      </w:r>
      <w:r>
        <w:t>（Marcel Bouraine</w:t>
      </w:r>
      <w:r>
        <w:rPr>
          <w:rFonts w:hint="eastAsia"/>
        </w:rPr>
        <w:t>，1886-1948）等。</w:t>
      </w:r>
    </w:p>
    <w:p w14:paraId="7E6485AF">
      <w:pPr>
        <w:ind w:firstLine="420" w:firstLineChars="0"/>
      </w:pPr>
      <w:r>
        <w:rPr>
          <w:rFonts w:hint="eastAsia"/>
        </w:rPr>
        <w:t>另外，义品公司比利时建筑师们集中所在的布鲁塞尔皇家美术学院（Académie Royale des Beaux-Arts）和根特皇家美术学院（Académie royale des BeauxArts de Gand）也与巴黎美院有着很深的渊源。布鲁塞尔皇家美术学院为比利时培养了许多建筑师，1835年由“美术学院”更名为“皇家美术学院”时的院长弗朗索瓦.纳维兹（François-Joseph Navez，1787-1869）是比利时新古典主义画家，他的自身成就离不开法国新古典主义对他的塑造</w:t>
      </w:r>
      <w:r>
        <w:rPr>
          <w:rStyle w:val="14"/>
          <w:rFonts w:hint="eastAsia"/>
        </w:rPr>
        <w:t>[</w:t>
      </w:r>
      <w:r>
        <w:rPr>
          <w:rStyle w:val="14"/>
          <w:rFonts w:hint="eastAsia"/>
        </w:rPr>
        <w:endnoteReference w:id="38"/>
      </w:r>
      <w:r>
        <w:rPr>
          <w:rStyle w:val="14"/>
          <w:rFonts w:hint="eastAsia"/>
        </w:rPr>
        <w:t>]</w:t>
      </w:r>
      <w:r>
        <w:rPr>
          <w:rFonts w:hint="eastAsia"/>
        </w:rPr>
        <w:t>。建筑系名师蒂尔曼-弗朗索瓦·苏伊斯 (Tilman-François Suys，1783-1864)也有过巴黎美院的学习经历，回到布鲁塞尔皇家美院担任教授之时，他将新古典主义带回了自己的设计和教育实践中</w:t>
      </w:r>
      <w:r>
        <w:rPr>
          <w:rStyle w:val="14"/>
          <w:rFonts w:hint="eastAsia"/>
        </w:rPr>
        <w:t>[</w:t>
      </w:r>
      <w:r>
        <w:rPr>
          <w:rStyle w:val="14"/>
          <w:rFonts w:hint="eastAsia"/>
        </w:rPr>
        <w:endnoteReference w:id="39"/>
      </w:r>
      <w:r>
        <w:rPr>
          <w:rStyle w:val="14"/>
          <w:rFonts w:hint="eastAsia"/>
        </w:rPr>
        <w:t>]</w:t>
      </w:r>
      <w:r>
        <w:rPr>
          <w:rFonts w:hint="eastAsia"/>
        </w:rPr>
        <w:t>。距离布鲁塞尔不远的根特皇家美术学院最初是成立于画家</w:t>
      </w:r>
      <w:r>
        <w:fldChar w:fldCharType="begin"/>
      </w:r>
      <w:r>
        <w:instrText xml:space="preserve">HYPERLINK "https://fr.wikipedia.org/w/index.php?title=Philips_Karel_Marissal&amp;action=edit&amp;redlink=1" \o "飞利浦 Karel Marissal（页面不存在）"</w:instrText>
      </w:r>
      <w:r>
        <w:fldChar w:fldCharType="separate"/>
      </w:r>
      <w:r>
        <w:t>菲利普·卡雷尔·马里萨尔 (Philips Karel Marissal</w:t>
      </w:r>
      <w:r>
        <w:fldChar w:fldCharType="end"/>
      </w:r>
      <w:r>
        <w:rPr>
          <w:rFonts w:hint="eastAsia"/>
        </w:rPr>
        <w:t>，</w:t>
      </w:r>
      <w:r>
        <w:t>1698-1770)家中的一所私立学校，</w:t>
      </w:r>
      <w:r>
        <w:rPr>
          <w:rFonts w:hint="eastAsia"/>
        </w:rPr>
        <w:t>自</w:t>
      </w:r>
      <w:r>
        <w:fldChar w:fldCharType="begin"/>
      </w:r>
      <w:r>
        <w:instrText xml:space="preserve"> HYPERLINK "https://fr.wikipedia.org/wiki/Paris" \o "巴黎" </w:instrText>
      </w:r>
      <w:r>
        <w:fldChar w:fldCharType="separate"/>
      </w:r>
      <w:r>
        <w:t>巴黎归来后，</w:t>
      </w:r>
      <w:r>
        <w:fldChar w:fldCharType="end"/>
      </w:r>
      <w:r>
        <w:fldChar w:fldCharType="begin"/>
      </w:r>
      <w:r>
        <w:instrText xml:space="preserve"> HYPERLINK "https://fr.wikipedia.org/wiki/Acad%C3%A9mie_royale_de_peinture_et_de_sculpture" \o "皇家绘画与雕塑学院" </w:instrText>
      </w:r>
      <w:r>
        <w:fldChar w:fldCharType="separate"/>
      </w:r>
      <w:r>
        <w:t>皇家绘画和雕塑学院</w:t>
      </w:r>
      <w:r>
        <w:fldChar w:fldCharType="end"/>
      </w:r>
      <w:r>
        <w:rPr>
          <w:rFonts w:hint="eastAsia"/>
        </w:rPr>
        <w:t>（</w:t>
      </w:r>
      <w:r>
        <w:t>Académie royale de peinture et de sculpture</w:t>
      </w:r>
      <w:r>
        <w:rPr>
          <w:rFonts w:hint="eastAsia"/>
        </w:rPr>
        <w:t>）</w:t>
      </w:r>
      <w:r>
        <w:rPr>
          <w:rStyle w:val="14"/>
          <w:rFonts w:hint="eastAsia"/>
        </w:rPr>
        <w:t>[</w:t>
      </w:r>
      <w:r>
        <w:rPr>
          <w:rStyle w:val="14"/>
          <w:rFonts w:hint="eastAsia"/>
        </w:rPr>
        <w:endnoteReference w:id="40"/>
      </w:r>
      <w:r>
        <w:rPr>
          <w:rStyle w:val="14"/>
          <w:rFonts w:hint="eastAsia"/>
        </w:rPr>
        <w:t>]</w:t>
      </w:r>
      <w:r>
        <w:rPr>
          <w:rFonts w:hint="eastAsia"/>
        </w:rPr>
        <w:t>给马里萨尔留下了深刻</w:t>
      </w:r>
      <w:r>
        <w:t>印象</w:t>
      </w:r>
      <w:r>
        <w:rPr>
          <w:rFonts w:hint="eastAsia"/>
        </w:rPr>
        <w:t>。根特皇家美术学院也培养过许多重要的建筑师，例如比利时新艺术运动的重要建筑师维克多.霍塔（</w:t>
      </w:r>
      <w:r>
        <w:t>Victor Pierre Horta</w:t>
      </w:r>
      <w:r>
        <w:rPr>
          <w:rFonts w:hint="eastAsia"/>
        </w:rPr>
        <w:t>，1861-1947）等。</w:t>
      </w:r>
    </w:p>
    <w:p w14:paraId="4EAB264F">
      <w:pPr>
        <w:ind w:firstLine="420" w:firstLineChars="0"/>
      </w:pPr>
      <w:r>
        <w:rPr>
          <w:rFonts w:hint="eastAsia"/>
        </w:rPr>
        <w:t>此外，巴黎美院的影响范围不仅仅在学院之间。范.威利克的个人档案中显示，除布鲁塞尔的学习之外，他还在圣吕克高等艺术学院（Les</w:t>
      </w:r>
      <w:r>
        <w:t> Écoles supérieures des arts Saint-Luc</w:t>
      </w:r>
      <w:r>
        <w:rPr>
          <w:rFonts w:hint="eastAsia"/>
        </w:rPr>
        <w:t>）</w:t>
      </w:r>
      <w:r>
        <w:rPr>
          <w:rStyle w:val="14"/>
          <w:rFonts w:hint="eastAsia"/>
        </w:rPr>
        <w:t>[</w:t>
      </w:r>
      <w:r>
        <w:rPr>
          <w:rStyle w:val="14"/>
          <w:rFonts w:hint="eastAsia"/>
        </w:rPr>
        <w:endnoteReference w:id="41"/>
      </w:r>
      <w:r>
        <w:rPr>
          <w:rStyle w:val="14"/>
          <w:rFonts w:hint="eastAsia"/>
        </w:rPr>
        <w:t>]</w:t>
      </w:r>
      <w:r>
        <w:rPr>
          <w:rFonts w:hint="eastAsia"/>
        </w:rPr>
        <w:t>学习过一年的建筑组构（composition）</w:t>
      </w:r>
      <w:r>
        <w:rPr>
          <w:rStyle w:val="14"/>
          <w:rFonts w:hint="eastAsia"/>
        </w:rPr>
        <w:t>[</w:t>
      </w:r>
      <w:r>
        <w:rPr>
          <w:rStyle w:val="14"/>
          <w:rFonts w:hint="eastAsia"/>
        </w:rPr>
        <w:endnoteReference w:id="42"/>
      </w:r>
      <w:r>
        <w:rPr>
          <w:rStyle w:val="14"/>
          <w:rFonts w:hint="eastAsia"/>
        </w:rPr>
        <w:t>]</w:t>
      </w:r>
      <w:r>
        <w:rPr>
          <w:rFonts w:hint="eastAsia"/>
        </w:rPr>
        <w:t>，“composition”在建筑教学中的语义不言而喻，是将有关元素（elements）进行组合的设计方法，是“布扎”建筑设计和教学体系的核心</w:t>
      </w:r>
      <w:r>
        <w:rPr>
          <w:rStyle w:val="14"/>
          <w:rFonts w:hint="eastAsia"/>
        </w:rPr>
        <w:t>[</w:t>
      </w:r>
      <w:r>
        <w:rPr>
          <w:rStyle w:val="14"/>
          <w:rFonts w:hint="eastAsia"/>
        </w:rPr>
        <w:endnoteReference w:id="43"/>
      </w:r>
      <w:r>
        <w:rPr>
          <w:rStyle w:val="14"/>
          <w:rFonts w:hint="eastAsia"/>
        </w:rPr>
        <w:t>]</w:t>
      </w:r>
      <w:r>
        <w:rPr>
          <w:rFonts w:hint="eastAsia"/>
        </w:rPr>
        <w:t>。在建筑师申请义品公司建筑师职位过程中，通常需要2-5名推荐人，维尔梅克的推荐人之一则是建筑师保罗·邦杜埃勒（Paul Bonduelle，1877-1955）（图3），他是一位典型的折衷主义与布扎风格建筑师，与巴黎美院的古斯塔夫.汉索特（</w:t>
      </w:r>
      <w:r>
        <w:fldChar w:fldCharType="begin"/>
      </w:r>
      <w:r>
        <w:instrText xml:space="preserve">HYPERLINK "https://fr.wikipedia.org/wiki/Gustave_Hansotte" \o "古斯塔夫·汉索特"</w:instrText>
      </w:r>
      <w:r>
        <w:fldChar w:fldCharType="separate"/>
      </w:r>
      <w:r>
        <w:t>Gustave Hansotte</w:t>
      </w:r>
      <w:r>
        <w:fldChar w:fldCharType="end"/>
      </w:r>
      <w:r>
        <w:rPr>
          <w:rFonts w:hint="eastAsia"/>
        </w:rPr>
        <w:t>，1827-1886）</w:t>
      </w:r>
      <w:r>
        <w:rPr>
          <w:rStyle w:val="14"/>
          <w:rFonts w:hint="eastAsia"/>
        </w:rPr>
        <w:t>[</w:t>
      </w:r>
      <w:r>
        <w:rPr>
          <w:rStyle w:val="14"/>
          <w:rFonts w:hint="eastAsia"/>
        </w:rPr>
        <w:endnoteReference w:id="44"/>
      </w:r>
      <w:r>
        <w:rPr>
          <w:rStyle w:val="14"/>
          <w:rFonts w:hint="eastAsia"/>
        </w:rPr>
        <w:t>]</w:t>
      </w:r>
      <w:r>
        <w:rPr>
          <w:rFonts w:hint="eastAsia"/>
        </w:rPr>
        <w:t>共同设计的前布拉班特省政府的外立面，具有新古典主义风格的</w:t>
      </w:r>
      <w:r>
        <w:fldChar w:fldCharType="begin"/>
      </w:r>
      <w:r>
        <w:instrText xml:space="preserve">HYPERLINK "https://fr.wikipedia.org/wiki/M%C3%A9morial_Reine_Astrid" \o "王后阿斯特丽德纪念馆"</w:instrText>
      </w:r>
      <w:r>
        <w:fldChar w:fldCharType="separate"/>
      </w:r>
      <w:r>
        <w:t>阿斯特丽德女王纪念馆</w:t>
      </w:r>
      <w:r>
        <w:fldChar w:fldCharType="end"/>
      </w:r>
      <w:r>
        <w:rPr>
          <w:rFonts w:hint="eastAsia"/>
        </w:rPr>
        <w:t>也是邦杜埃勒的里程碑式作品。</w:t>
      </w:r>
    </w:p>
    <w:p w14:paraId="32044E01">
      <w:pPr>
        <w:ind w:firstLine="420" w:firstLineChars="0"/>
        <w:rPr>
          <w:rFonts w:hint="eastAsia" w:ascii="华文细黑" w:hAnsi="华文细黑" w:eastAsia="华文细黑" w:cs="华文细黑"/>
          <w:b/>
          <w:bCs/>
        </w:rPr>
      </w:pPr>
      <w:r>
        <w:rPr>
          <w:rFonts w:hint="eastAsia"/>
        </w:rPr>
        <w:t>在远东这片全新的土地之上，义品建筑师还在建筑方面对中国人进行传播与教学。他们在天津工商学院</w:t>
      </w:r>
      <w:r>
        <w:rPr>
          <w:rStyle w:val="14"/>
          <w:rFonts w:hint="eastAsia"/>
        </w:rPr>
        <w:t>[</w:t>
      </w:r>
      <w:r>
        <w:rPr>
          <w:rStyle w:val="14"/>
          <w:rFonts w:hint="eastAsia"/>
        </w:rPr>
        <w:endnoteReference w:id="45"/>
      </w:r>
      <w:r>
        <w:rPr>
          <w:rStyle w:val="14"/>
          <w:rFonts w:hint="eastAsia"/>
        </w:rPr>
        <w:t>]</w:t>
      </w:r>
      <w:r>
        <w:rPr>
          <w:rFonts w:hint="eastAsia"/>
        </w:rPr>
        <w:t>担任教职以传授建筑相关的科学知识，例如吉辛、米苏和布瓦松均在义品公司任职期间兼任该学校教师为中国学生授课。其中米苏担任土木工程学教师</w:t>
      </w:r>
      <w:r>
        <w:rPr>
          <w:rStyle w:val="14"/>
          <w:rFonts w:hint="eastAsia"/>
        </w:rPr>
        <w:t>[</w:t>
      </w:r>
      <w:r>
        <w:rPr>
          <w:rStyle w:val="14"/>
          <w:rFonts w:hint="eastAsia"/>
        </w:rPr>
        <w:endnoteReference w:id="46"/>
      </w:r>
      <w:r>
        <w:rPr>
          <w:rStyle w:val="14"/>
          <w:rFonts w:hint="eastAsia"/>
        </w:rPr>
        <w:t>]</w:t>
      </w:r>
      <w:r>
        <w:rPr>
          <w:rFonts w:hint="eastAsia"/>
        </w:rPr>
        <w:t>，布瓦松担任描述几何学（Géométrie descriptive）教师</w:t>
      </w:r>
      <w:r>
        <w:rPr>
          <w:rStyle w:val="14"/>
          <w:rFonts w:hint="eastAsia"/>
        </w:rPr>
        <w:t>[</w:t>
      </w:r>
      <w:r>
        <w:rPr>
          <w:rStyle w:val="14"/>
          <w:rFonts w:hint="eastAsia"/>
        </w:rPr>
        <w:endnoteReference w:id="47"/>
      </w:r>
      <w:r>
        <w:rPr>
          <w:rStyle w:val="14"/>
          <w:rFonts w:hint="eastAsia"/>
        </w:rPr>
        <w:t>]</w:t>
      </w:r>
      <w:r>
        <w:rPr>
          <w:rFonts w:hint="eastAsia"/>
        </w:rPr>
        <w:t>，在向义品公司提出任课申请的信函中，布瓦松还提及“学校中除神父以外，几乎所有的老师都是公司或者银行的职员（agant）”</w:t>
      </w:r>
      <w:r>
        <w:rPr>
          <w:rStyle w:val="14"/>
          <w:rFonts w:hint="eastAsia"/>
        </w:rPr>
        <w:t>[</w:t>
      </w:r>
      <w:r>
        <w:rPr>
          <w:rStyle w:val="14"/>
          <w:rFonts w:hint="eastAsia"/>
        </w:rPr>
        <w:endnoteReference w:id="48"/>
      </w:r>
      <w:r>
        <w:rPr>
          <w:rStyle w:val="14"/>
          <w:rFonts w:hint="eastAsia"/>
        </w:rPr>
        <w:t>]</w:t>
      </w:r>
      <w:r>
        <w:rPr>
          <w:rFonts w:hint="eastAsia"/>
        </w:rPr>
        <w:t>其中有记录者例如</w:t>
      </w:r>
      <w:r>
        <w:t>E.C.P.市政工程师戴维先生</w:t>
      </w:r>
      <w:r>
        <w:rPr>
          <w:rFonts w:hint="eastAsia"/>
        </w:rPr>
        <w:t>、永和营造司（Brossard&amp;Mopin）的吉耶（Marcel Guillet，1894-1985）</w:t>
      </w:r>
      <w:r>
        <w:rPr>
          <w:rStyle w:val="14"/>
          <w:rFonts w:hint="eastAsia"/>
        </w:rPr>
        <w:t>[</w:t>
      </w:r>
      <w:r>
        <w:rPr>
          <w:rStyle w:val="14"/>
          <w:rFonts w:hint="eastAsia"/>
        </w:rPr>
        <w:endnoteReference w:id="49"/>
      </w:r>
      <w:r>
        <w:rPr>
          <w:rStyle w:val="14"/>
          <w:rFonts w:hint="eastAsia"/>
        </w:rPr>
        <w:t>]</w:t>
      </w:r>
      <w:r>
        <w:rPr>
          <w:rFonts w:hint="eastAsia"/>
        </w:rPr>
        <w:t>和慕乐（</w:t>
      </w:r>
      <w:r>
        <w:t>Paul Muller</w:t>
      </w:r>
      <w:r>
        <w:rPr>
          <w:rFonts w:hint="eastAsia"/>
        </w:rPr>
        <w:t>）</w:t>
      </w:r>
      <w:r>
        <w:rPr>
          <w:rStyle w:val="14"/>
          <w:rFonts w:hint="eastAsia"/>
        </w:rPr>
        <w:t>[</w:t>
      </w:r>
      <w:r>
        <w:rPr>
          <w:rStyle w:val="14"/>
          <w:rFonts w:hint="eastAsia"/>
        </w:rPr>
        <w:endnoteReference w:id="50"/>
      </w:r>
      <w:r>
        <w:rPr>
          <w:rStyle w:val="14"/>
          <w:rFonts w:hint="eastAsia"/>
        </w:rPr>
        <w:t>]</w:t>
      </w:r>
      <w:r>
        <w:t>等</w:t>
      </w:r>
      <w:r>
        <w:rPr>
          <w:rFonts w:hint="eastAsia"/>
        </w:rPr>
        <w:t>，都是“布扎”在中国通过教育体系传播的重要人员。</w:t>
      </w:r>
    </w:p>
    <w:p w14:paraId="2D437FA2">
      <w:pPr>
        <w:ind w:firstLine="420" w:firstLineChars="0"/>
        <w:rPr>
          <w:rFonts w:hint="eastAsia" w:ascii="华文细黑" w:hAnsi="华文细黑" w:eastAsia="华文细黑" w:cs="华文细黑"/>
          <w:b/>
          <w:bCs/>
        </w:rPr>
      </w:pPr>
      <w:r>
        <w:rPr>
          <w:rFonts w:hint="eastAsia" w:ascii="华文细黑" w:hAnsi="华文细黑" w:eastAsia="华文细黑" w:cs="华文细黑"/>
          <w:b/>
          <w:bCs/>
        </w:rPr>
        <w:drawing>
          <wp:inline distT="0" distB="0" distL="114300" distR="114300">
            <wp:extent cx="2608580" cy="3061335"/>
            <wp:effectExtent l="0" t="0" r="7620" b="12065"/>
            <wp:docPr id="8" name="图片 8" descr="图5：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图5：  1177"/>
                    <pic:cNvPicPr>
                      <a:picLocks noChangeAspect="1"/>
                    </pic:cNvPicPr>
                  </pic:nvPicPr>
                  <pic:blipFill>
                    <a:blip r:embed="rId15"/>
                    <a:srcRect b="18376"/>
                    <a:stretch>
                      <a:fillRect/>
                    </a:stretch>
                  </pic:blipFill>
                  <pic:spPr>
                    <a:xfrm>
                      <a:off x="0" y="0"/>
                      <a:ext cx="2608580" cy="3061335"/>
                    </a:xfrm>
                    <a:prstGeom prst="rect">
                      <a:avLst/>
                    </a:prstGeom>
                  </pic:spPr>
                </pic:pic>
              </a:graphicData>
            </a:graphic>
          </wp:inline>
        </w:drawing>
      </w:r>
    </w:p>
    <w:p w14:paraId="3AEC7384">
      <w:pPr>
        <w:ind w:firstLine="420" w:firstLineChars="0"/>
        <w:rPr>
          <w:rFonts w:hint="eastAsia" w:ascii="华文细黑" w:hAnsi="华文细黑" w:eastAsia="华文细黑" w:cs="华文细黑"/>
        </w:rPr>
      </w:pPr>
      <w:r>
        <w:rPr>
          <w:rFonts w:hint="eastAsia" w:ascii="华文细黑" w:hAnsi="华文细黑" w:eastAsia="华文细黑" w:cs="华文细黑"/>
          <w:b/>
          <w:bCs/>
        </w:rPr>
        <w:t>图3：义品公司与邦杜埃勒推荐人通信档案</w:t>
      </w:r>
    </w:p>
    <w:p w14:paraId="2C8671AC">
      <w:pPr>
        <w:ind w:firstLine="420" w:firstLineChars="0"/>
      </w:pPr>
      <w:r>
        <w:rPr>
          <w:rFonts w:hint="eastAsia"/>
        </w:rPr>
        <w:t>因此，在义品公司工程部担任主要设计工作的建筑师多在19世纪末至20世纪初与“布扎”的教育体系有着直接或间接的关联。此时正处法兰西第三共和国成立（1870年）与第一次世界大战爆发（1914年）之间的和平发展阶段，“巴黎美术学院”也处于历史上的空前时期。直至20世纪20年代晚期，经济上的不堪重负，使得巴黎美院的建筑师们在学术上渐趋首势，二战时期纳粹长达五年的占领使得巴黎美术学院的建筑师们与法国以外的建筑思想失去了联系，19世纪的多样与灵活逐渐演变为刻板的中心化状态。</w:t>
      </w:r>
      <w:r>
        <w:rPr>
          <w:rStyle w:val="14"/>
          <w:rFonts w:hint="eastAsia"/>
        </w:rPr>
        <w:t>[</w:t>
      </w:r>
      <w:r>
        <w:rPr>
          <w:rStyle w:val="14"/>
          <w:rFonts w:hint="eastAsia"/>
        </w:rPr>
        <w:endnoteReference w:id="51"/>
      </w:r>
      <w:r>
        <w:rPr>
          <w:rStyle w:val="14"/>
          <w:rFonts w:hint="eastAsia"/>
        </w:rPr>
        <w:t>]</w:t>
      </w:r>
      <w:r>
        <w:rPr>
          <w:rFonts w:hint="eastAsia"/>
        </w:rPr>
        <w:t>因此，19世纪末的欧洲巴黎美院，尤其是“皇家美院”都受到新古典主义思潮及其设计哲学的波及。这些建筑师正是出自此时的欧洲典型学院派院校，是法国“布扎”在欧洲内部直接传播和小范围演变结果的直接承担者。他们以义品公司等机构为媒介，通过设计与传授的方式将“布扎”作为教育体系的结果种植于近代中国的土地。</w:t>
      </w:r>
    </w:p>
    <w:p w14:paraId="5F1CB087">
      <w:pPr>
        <w:numPr>
          <w:ilvl w:val="0"/>
          <w:numId w:val="3"/>
        </w:numPr>
        <w:ind w:firstLine="480"/>
      </w:pPr>
      <w:r>
        <w:rPr>
          <w:rFonts w:hint="eastAsia"/>
        </w:rPr>
        <w:t>作为建筑风格的布扎——建筑思潮传播的先导性</w:t>
      </w:r>
    </w:p>
    <w:p w14:paraId="65268363">
      <w:pPr>
        <w:ind w:firstLine="480"/>
      </w:pPr>
      <w:r>
        <w:rPr>
          <w:rFonts w:hint="eastAsia"/>
        </w:rPr>
        <w:t>近代时期的世界建筑处在各个思潮的此起彼伏中，开埠城市的设立为西方建筑风格在华的传播打开了突破口，租界作为西方国家直接进行各类实践的场所，也使得国际思潮在建筑设计上得到了及时的反馈。义品公司会定期为工程部订购大量国际建筑杂志以提高其设计水平</w:t>
      </w:r>
      <w:r>
        <w:rPr>
          <w:rStyle w:val="14"/>
          <w:rFonts w:hint="eastAsia"/>
        </w:rPr>
        <w:t>[</w:t>
      </w:r>
      <w:r>
        <w:rPr>
          <w:rStyle w:val="14"/>
          <w:rFonts w:hint="eastAsia"/>
        </w:rPr>
        <w:endnoteReference w:id="52"/>
      </w:r>
      <w:r>
        <w:rPr>
          <w:rStyle w:val="14"/>
          <w:rFonts w:hint="eastAsia"/>
        </w:rPr>
        <w:t>]</w:t>
      </w:r>
      <w:r>
        <w:rPr>
          <w:rFonts w:hint="eastAsia"/>
        </w:rPr>
        <w:t>。20世纪初至40年代短暂的几十余年间，他们的建筑作品在典型的学院派新古典与折衷风格之后，明显地注入了新艺术、装饰艺术、现代主义等风格的特点（图4），尽管其中部分理念对古典主义的繁复装饰持批判观点，但出身学院派的建筑师在保留其设计哲学和构成的基础之上，对设计元素加以演绎。“折衷主义”作为19世纪布扎无法绕开的教学与实践内容</w:t>
      </w:r>
      <w:r>
        <w:rPr>
          <w:rStyle w:val="14"/>
          <w:rFonts w:hint="eastAsia" w:ascii="Times New Roman" w:hAnsi="Times New Roman" w:eastAsia="宋体" w:cs="Times New Roman"/>
        </w:rPr>
        <w:t>[</w:t>
      </w:r>
      <w:r>
        <w:rPr>
          <w:rStyle w:val="14"/>
          <w:rFonts w:hint="eastAsia" w:ascii="Times New Roman" w:hAnsi="Times New Roman" w:eastAsia="宋体" w:cs="Times New Roman"/>
        </w:rPr>
        <w:endnoteReference w:id="53"/>
      </w:r>
      <w:r>
        <w:rPr>
          <w:rStyle w:val="14"/>
          <w:rFonts w:hint="eastAsia" w:ascii="Times New Roman" w:hAnsi="Times New Roman" w:eastAsia="宋体" w:cs="Times New Roman"/>
        </w:rPr>
        <w:t>]</w:t>
      </w:r>
      <w:r>
        <w:rPr>
          <w:rFonts w:hint="eastAsia"/>
        </w:rPr>
        <w:t>，可以分为两个部分，即“参考语料库”（le corpus de référence），包含经过分析的各种风格建筑的要素及其系统，以及“构成原则”（le principe de composition）， 包含对建筑统一性和尺度等问题的讨论</w:t>
      </w:r>
      <w:r>
        <w:rPr>
          <w:rStyle w:val="14"/>
          <w:rFonts w:hint="eastAsia"/>
        </w:rPr>
        <w:t>[</w:t>
      </w:r>
      <w:r>
        <w:rPr>
          <w:rStyle w:val="14"/>
          <w:rFonts w:hint="eastAsia"/>
        </w:rPr>
        <w:endnoteReference w:id="54"/>
      </w:r>
      <w:r>
        <w:rPr>
          <w:rStyle w:val="14"/>
          <w:rFonts w:hint="eastAsia"/>
        </w:rPr>
        <w:t>]</w:t>
      </w:r>
      <w:r>
        <w:rPr>
          <w:rFonts w:hint="eastAsia"/>
        </w:rPr>
        <w:t>。在几十年间的建筑实践中，“语料”的简化和“构成”的延续是义品公司“布扎”传播的特点。</w:t>
      </w:r>
    </w:p>
    <w:p w14:paraId="3F5B653C">
      <w:pPr>
        <w:ind w:firstLine="0" w:firstLineChars="0"/>
        <w:rPr>
          <w:b/>
          <w:bCs/>
          <w:color w:val="0000FF"/>
        </w:rPr>
      </w:pPr>
      <w:r>
        <w:rPr>
          <w:rFonts w:hint="eastAsia"/>
          <w:b/>
          <w:bCs/>
          <w:color w:val="0000FF"/>
        </w:rPr>
        <w:drawing>
          <wp:inline distT="0" distB="0" distL="0" distR="0">
            <wp:extent cx="5272405" cy="8829040"/>
            <wp:effectExtent l="0" t="0" r="4445" b="0"/>
            <wp:docPr id="212635876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358763" name="图片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5272405" cy="8829040"/>
                    </a:xfrm>
                    <a:prstGeom prst="rect">
                      <a:avLst/>
                    </a:prstGeom>
                    <a:noFill/>
                    <a:ln>
                      <a:noFill/>
                    </a:ln>
                  </pic:spPr>
                </pic:pic>
              </a:graphicData>
            </a:graphic>
          </wp:inline>
        </w:drawing>
      </w:r>
    </w:p>
    <w:p w14:paraId="7D15EC94">
      <w:pPr>
        <w:ind w:firstLine="480"/>
        <w:rPr>
          <w:rFonts w:hint="eastAsia" w:ascii="黑体" w:hAnsi="黑体" w:eastAsia="黑体"/>
        </w:rPr>
      </w:pPr>
      <w:r>
        <w:rPr>
          <w:rFonts w:hint="eastAsia" w:ascii="黑体" w:hAnsi="黑体" w:eastAsia="黑体"/>
        </w:rPr>
        <w:t>图4：义品公司天津建筑作品变化总览</w:t>
      </w:r>
    </w:p>
    <w:p w14:paraId="2E0DC709">
      <w:pPr>
        <w:ind w:firstLine="480"/>
      </w:pPr>
      <w:r>
        <w:rPr>
          <w:rFonts w:hint="eastAsia"/>
        </w:rPr>
        <w:t>义品公司成立早期，义品公司的作品大多体现学院派的特点。例如1912年落成的东方汇理银行大楼（图5）是查理和康沃西的典型折衷风格作品，在“语料”上它汇集了欧洲古典的常见山花与带有券心石的拱门符号，宝瓶与花饰栏杆、外窗周围凸起的牛腿柱作装饰，在外墙二至三层的红砖以及角亭檐部的构架等位置也出现了适应中国本土的元素；从“构成”而言，屋顶转角处的角亭在临街两个相邻不同立面上为其三段的划分增加了竖直方向的延伸。与此同时，欧洲兴起了新艺术运动，它虽然反对矫饰的历史折中主义风格，但代表建筑师赫克托.吉马德（Hector Guimard，1867-1942）也曾在巴黎美院学习</w:t>
      </w:r>
      <w:r>
        <w:rPr>
          <w:rStyle w:val="14"/>
          <w:rFonts w:hint="eastAsia"/>
        </w:rPr>
        <w:t>[</w:t>
      </w:r>
      <w:r>
        <w:rPr>
          <w:rStyle w:val="14"/>
          <w:rFonts w:hint="eastAsia"/>
        </w:rPr>
        <w:endnoteReference w:id="55"/>
      </w:r>
      <w:r>
        <w:rPr>
          <w:rStyle w:val="14"/>
          <w:rFonts w:hint="eastAsia"/>
        </w:rPr>
        <w:t>]</w:t>
      </w:r>
      <w:r>
        <w:rPr>
          <w:rFonts w:hint="eastAsia"/>
        </w:rPr>
        <w:t xml:space="preserve"> 。至1926年，门德尔松在义品公司的成名之作百福大楼（图6）之上的新艺术气息已然成熟，其设计“语料”已明显出现简化，挑檐和柱顶石等元素已变为相对扁平的符号，立面的韵律不再取决于应用古典柱式的分割，而是转变为凹凸变化的墙面，装饰以山墙上的平面化植物纹样为主；“构成”上，平面已不再遵循早期的完全对称原则，而是根据功能对轴线走向两侧空间进行分隔，立面将“三段”的中心放置在转角处，由转角尽头的高耸屋顶完成对万国桥方向的视觉引领，以完成与环境的统一。</w:t>
      </w:r>
    </w:p>
    <w:p w14:paraId="5605DD1E">
      <w:pPr>
        <w:ind w:firstLine="0" w:firstLineChars="0"/>
      </w:pPr>
      <w:r>
        <w:rPr>
          <w:rFonts w:hint="eastAsia"/>
        </w:rPr>
        <w:drawing>
          <wp:inline distT="0" distB="0" distL="114300" distR="114300">
            <wp:extent cx="5120005" cy="2658110"/>
            <wp:effectExtent l="0" t="0" r="10795" b="8890"/>
            <wp:docPr id="3" name="图片 3" descr="3.2-东方汇理银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3.2-东方汇理银行"/>
                    <pic:cNvPicPr>
                      <a:picLocks noChangeAspect="1"/>
                    </pic:cNvPicPr>
                  </pic:nvPicPr>
                  <pic:blipFill>
                    <a:blip r:embed="rId17"/>
                    <a:stretch>
                      <a:fillRect/>
                    </a:stretch>
                  </pic:blipFill>
                  <pic:spPr>
                    <a:xfrm>
                      <a:off x="0" y="0"/>
                      <a:ext cx="5120005" cy="2658110"/>
                    </a:xfrm>
                    <a:prstGeom prst="rect">
                      <a:avLst/>
                    </a:prstGeom>
                  </pic:spPr>
                </pic:pic>
              </a:graphicData>
            </a:graphic>
          </wp:inline>
        </w:drawing>
      </w:r>
    </w:p>
    <w:p w14:paraId="3E6A12F3">
      <w:pPr>
        <w:ind w:firstLine="0" w:firstLineChars="0"/>
        <w:rPr>
          <w:rFonts w:hint="default" w:ascii="华文细黑" w:hAnsi="华文细黑" w:eastAsia="华文细黑" w:cs="华文细黑"/>
          <w:lang w:val="en-US" w:eastAsia="zh-CN"/>
        </w:rPr>
      </w:pPr>
      <w:r>
        <w:rPr>
          <w:rFonts w:hint="eastAsia" w:ascii="华文细黑" w:hAnsi="华文细黑" w:eastAsia="华文细黑" w:cs="华文细黑"/>
        </w:rPr>
        <w:t>图5：东方汇理银行</w:t>
      </w:r>
      <w:r>
        <w:rPr>
          <w:rFonts w:hint="eastAsia" w:ascii="华文细黑" w:hAnsi="华文细黑" w:eastAsia="华文细黑" w:cs="华文细黑"/>
          <w:lang w:val="en-US" w:eastAsia="zh-CN"/>
        </w:rPr>
        <w:t>外观与设计图</w:t>
      </w:r>
    </w:p>
    <w:p w14:paraId="3A71EFBF">
      <w:pPr>
        <w:ind w:firstLine="0" w:firstLineChars="0"/>
        <w:rPr>
          <w:rFonts w:hint="eastAsia" w:ascii="华文细黑" w:hAnsi="华文细黑" w:eastAsia="华文细黑" w:cs="华文细黑"/>
        </w:rPr>
      </w:pPr>
      <w:r>
        <w:rPr>
          <w:rFonts w:hint="eastAsia" w:ascii="华文细黑" w:hAnsi="华文细黑" w:eastAsia="华文细黑" w:cs="华文细黑"/>
        </w:rPr>
        <w:drawing>
          <wp:inline distT="0" distB="0" distL="114300" distR="114300">
            <wp:extent cx="5234305" cy="2302510"/>
            <wp:effectExtent l="0" t="0" r="10795" b="8890"/>
            <wp:docPr id="2" name="图片 2" descr="图6-百福大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6-百福大楼"/>
                    <pic:cNvPicPr>
                      <a:picLocks noChangeAspect="1"/>
                    </pic:cNvPicPr>
                  </pic:nvPicPr>
                  <pic:blipFill>
                    <a:blip r:embed="rId18"/>
                    <a:stretch>
                      <a:fillRect/>
                    </a:stretch>
                  </pic:blipFill>
                  <pic:spPr>
                    <a:xfrm>
                      <a:off x="0" y="0"/>
                      <a:ext cx="5234305" cy="2302510"/>
                    </a:xfrm>
                    <a:prstGeom prst="rect">
                      <a:avLst/>
                    </a:prstGeom>
                  </pic:spPr>
                </pic:pic>
              </a:graphicData>
            </a:graphic>
          </wp:inline>
        </w:drawing>
      </w:r>
    </w:p>
    <w:p w14:paraId="1605AACB">
      <w:pPr>
        <w:ind w:firstLine="0" w:firstLineChars="0"/>
        <w:rPr>
          <w:rFonts w:hint="default" w:ascii="华文细黑" w:hAnsi="华文细黑" w:eastAsia="华文细黑" w:cs="华文细黑"/>
          <w:lang w:val="en-US" w:eastAsia="zh-CN"/>
        </w:rPr>
      </w:pPr>
      <w:r>
        <w:rPr>
          <w:rFonts w:hint="eastAsia" w:ascii="华文细黑" w:hAnsi="华文细黑" w:eastAsia="华文细黑" w:cs="华文细黑"/>
        </w:rPr>
        <w:t>图6：百福大楼</w:t>
      </w:r>
      <w:r>
        <w:rPr>
          <w:rFonts w:hint="eastAsia" w:ascii="华文细黑" w:hAnsi="华文细黑" w:eastAsia="华文细黑" w:cs="华文细黑"/>
          <w:lang w:val="en-US" w:eastAsia="zh-CN"/>
        </w:rPr>
        <w:t>外观与设计图</w:t>
      </w:r>
    </w:p>
    <w:p w14:paraId="661C6EA1">
      <w:pPr>
        <w:ind w:firstLine="480"/>
      </w:pPr>
      <w:r>
        <w:rPr>
          <w:rFonts w:hint="eastAsia"/>
        </w:rPr>
        <w:t>百福大楼的设计进行同时，国际装饰艺术与现代工业博览会</w:t>
      </w:r>
      <w:r>
        <w:rPr>
          <w:rStyle w:val="14"/>
          <w:rFonts w:hint="eastAsia"/>
        </w:rPr>
        <w:t>[</w:t>
      </w:r>
      <w:r>
        <w:rPr>
          <w:rStyle w:val="14"/>
          <w:rFonts w:hint="eastAsia"/>
        </w:rPr>
        <w:endnoteReference w:id="56"/>
      </w:r>
      <w:r>
        <w:rPr>
          <w:rStyle w:val="14"/>
          <w:rFonts w:hint="eastAsia"/>
        </w:rPr>
        <w:t>]</w:t>
      </w:r>
      <w:r>
        <w:rPr>
          <w:rFonts w:hint="eastAsia"/>
        </w:rPr>
        <w:t>一举掀起装饰艺术（Art Deco）的风潮，博览会过去仅5年的时间之后，门德尔松的另一作品公议局大楼（图7）便已经落成，这座法国当局的官方建筑有着典型的巴黎美院派古典主义外表，其“构成”继续着以轴线对称和三段式立面的母题以呼应公议局的官方属性。它很少具有折衷特点，而是以爱奥尼柱廊和三角形山花等相对纯粹的古典元素作“语料”，细节处辅以断山花中的盾形饰以及宽而深的凹槽分格饰面。然而室内设计已然充满装饰艺术元素（图8）。装饰艺术与新艺术相比有着更为包容的特点，它容纳了代表法国特色的新艺术、古典主义与民族形式，室内新兴风格的出现，不仅代表建筑师的引进和法国政府的接纳，也代表“布扎”方法在演变中容纳了更多新兴元素以充斥自身的“语料”。这种接纳在次年完成的新法国俱乐部（图9）项目中被完全地体现，这座建筑也由法国公议局出资建设，作为法国侨民的娱乐场所，使用性质上的转变让“摩登”风格更受青睐。与旧俱乐部的外观相比（图10），“语料”的简化更为直观，新艺术风格的镂空金属花饰应用于入口和横向带状的细部，外立面分隔由更为成熟的线脚的运用来实现，简洁的几何特征与竖向线条的收分等全部纳入了门德尔松的设计“语料”，它们逐渐代替了折衷主义阶段“语料”的古典元素及其装饰性质，而同装饰艺术风格一同趋于现代主义的特征；新法国俱乐部却仍然延续着“布扎”的“构成”原则，从立面来看，与百福大楼异曲同工，新法国俱乐部将“三段”的中心移至转角处并将入口至于那里作为装饰与视觉的重心，从平面来看，这座八角形建筑的主轴线与立面轴线的方向保持一致的同时，又在东西和南北方向加以另外两条轴线的主导和配合，轴线体系的使用和变式为这座装饰艺术建筑保持着布扎“构成”的内核。</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37"/>
        <w:gridCol w:w="4385"/>
      </w:tblGrid>
      <w:tr w14:paraId="4DF56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3" w:type="dxa"/>
            <w:tcBorders>
              <w:top w:val="nil"/>
              <w:left w:val="nil"/>
              <w:bottom w:val="nil"/>
              <w:right w:val="nil"/>
            </w:tcBorders>
          </w:tcPr>
          <w:p w14:paraId="35E3CB93">
            <w:pPr>
              <w:ind w:firstLine="0" w:firstLineChars="0"/>
              <w:jc w:val="center"/>
              <w:rPr>
                <w:rFonts w:hint="eastAsia" w:ascii="华文细黑" w:hAnsi="华文细黑" w:eastAsia="华文细黑" w:cs="华文细黑"/>
              </w:rPr>
            </w:pPr>
            <w:r>
              <w:rPr>
                <w:rFonts w:hint="eastAsia" w:ascii="华文细黑" w:hAnsi="华文细黑" w:eastAsia="华文细黑" w:cs="华文细黑"/>
              </w:rPr>
              <w:drawing>
                <wp:inline distT="0" distB="0" distL="114300" distR="114300">
                  <wp:extent cx="2594610" cy="3826510"/>
                  <wp:effectExtent l="0" t="0" r="8890" b="8890"/>
                  <wp:docPr id="10" name="图片 10" descr="3.2-公议局大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3.2-公议局大楼"/>
                          <pic:cNvPicPr>
                            <a:picLocks noChangeAspect="1"/>
                          </pic:cNvPicPr>
                        </pic:nvPicPr>
                        <pic:blipFill>
                          <a:blip r:embed="rId19"/>
                          <a:stretch>
                            <a:fillRect/>
                          </a:stretch>
                        </pic:blipFill>
                        <pic:spPr>
                          <a:xfrm>
                            <a:off x="0" y="0"/>
                            <a:ext cx="2597474" cy="3830886"/>
                          </a:xfrm>
                          <a:prstGeom prst="rect">
                            <a:avLst/>
                          </a:prstGeom>
                        </pic:spPr>
                      </pic:pic>
                    </a:graphicData>
                  </a:graphic>
                </wp:inline>
              </w:drawing>
            </w:r>
          </w:p>
        </w:tc>
        <w:tc>
          <w:tcPr>
            <w:tcW w:w="4319" w:type="dxa"/>
            <w:tcBorders>
              <w:top w:val="nil"/>
              <w:left w:val="nil"/>
              <w:bottom w:val="nil"/>
              <w:right w:val="nil"/>
            </w:tcBorders>
          </w:tcPr>
          <w:p w14:paraId="521AB7C5">
            <w:pPr>
              <w:ind w:firstLine="0" w:firstLineChars="0"/>
              <w:jc w:val="center"/>
              <w:rPr>
                <w:rFonts w:hint="eastAsia" w:ascii="华文细黑" w:hAnsi="华文细黑" w:eastAsia="华文细黑" w:cs="华文细黑"/>
              </w:rPr>
            </w:pPr>
            <w:r>
              <w:rPr>
                <w:rFonts w:hint="eastAsia" w:ascii="华文细黑" w:hAnsi="华文细黑" w:eastAsia="华文细黑" w:cs="华文细黑"/>
              </w:rPr>
              <w:drawing>
                <wp:inline distT="0" distB="0" distL="114300" distR="114300">
                  <wp:extent cx="2674620" cy="3789045"/>
                  <wp:effectExtent l="0" t="0" r="5080" b="8255"/>
                  <wp:docPr id="13" name="图片 13" descr="3.2-公议局室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3.2-公议局室内"/>
                          <pic:cNvPicPr>
                            <a:picLocks noChangeAspect="1"/>
                          </pic:cNvPicPr>
                        </pic:nvPicPr>
                        <pic:blipFill>
                          <a:blip r:embed="rId20"/>
                          <a:stretch>
                            <a:fillRect/>
                          </a:stretch>
                        </pic:blipFill>
                        <pic:spPr>
                          <a:xfrm>
                            <a:off x="0" y="0"/>
                            <a:ext cx="2674620" cy="3789045"/>
                          </a:xfrm>
                          <a:prstGeom prst="rect">
                            <a:avLst/>
                          </a:prstGeom>
                        </pic:spPr>
                      </pic:pic>
                    </a:graphicData>
                  </a:graphic>
                </wp:inline>
              </w:drawing>
            </w:r>
          </w:p>
        </w:tc>
      </w:tr>
      <w:tr w14:paraId="305A6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3" w:type="dxa"/>
            <w:tcBorders>
              <w:top w:val="nil"/>
              <w:left w:val="nil"/>
              <w:bottom w:val="nil"/>
              <w:right w:val="nil"/>
            </w:tcBorders>
          </w:tcPr>
          <w:p w14:paraId="72BF2774">
            <w:pPr>
              <w:ind w:firstLine="0" w:firstLineChars="0"/>
              <w:jc w:val="center"/>
              <w:rPr>
                <w:rFonts w:hint="default" w:ascii="华文细黑" w:hAnsi="华文细黑" w:eastAsia="华文细黑" w:cs="华文细黑"/>
                <w:lang w:val="en-US" w:eastAsia="zh-CN"/>
              </w:rPr>
            </w:pPr>
            <w:r>
              <w:rPr>
                <w:rFonts w:hint="eastAsia" w:ascii="华文细黑" w:hAnsi="华文细黑" w:eastAsia="华文细黑" w:cs="华文细黑"/>
              </w:rPr>
              <w:t>图7：法国公议局大楼</w:t>
            </w:r>
            <w:r>
              <w:rPr>
                <w:rFonts w:hint="eastAsia" w:ascii="华文细黑" w:hAnsi="华文细黑" w:eastAsia="华文细黑" w:cs="华文细黑"/>
                <w:lang w:val="en-US" w:eastAsia="zh-CN"/>
              </w:rPr>
              <w:t>外观与设计图</w:t>
            </w:r>
          </w:p>
        </w:tc>
        <w:tc>
          <w:tcPr>
            <w:tcW w:w="4319" w:type="dxa"/>
            <w:tcBorders>
              <w:top w:val="nil"/>
              <w:left w:val="nil"/>
              <w:bottom w:val="nil"/>
              <w:right w:val="nil"/>
            </w:tcBorders>
          </w:tcPr>
          <w:p w14:paraId="1470B563">
            <w:pPr>
              <w:ind w:firstLine="0" w:firstLineChars="0"/>
              <w:jc w:val="center"/>
              <w:rPr>
                <w:rFonts w:hint="eastAsia" w:ascii="华文细黑" w:hAnsi="华文细黑" w:eastAsia="华文细黑" w:cs="华文细黑"/>
              </w:rPr>
            </w:pPr>
            <w:r>
              <w:rPr>
                <w:rFonts w:hint="eastAsia" w:ascii="华文细黑" w:hAnsi="华文细黑" w:eastAsia="华文细黑" w:cs="华文细黑"/>
              </w:rPr>
              <w:t>图8：法国公议局室内照片</w:t>
            </w:r>
          </w:p>
        </w:tc>
      </w:tr>
      <w:tr w14:paraId="47090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Borders>
              <w:top w:val="nil"/>
              <w:left w:val="nil"/>
              <w:bottom w:val="nil"/>
              <w:right w:val="nil"/>
            </w:tcBorders>
          </w:tcPr>
          <w:p w14:paraId="729F9883">
            <w:pPr>
              <w:ind w:firstLine="0" w:firstLineChars="0"/>
              <w:jc w:val="center"/>
              <w:rPr>
                <w:rFonts w:hint="eastAsia" w:ascii="华文细黑" w:hAnsi="华文细黑" w:eastAsia="华文细黑" w:cs="华文细黑"/>
              </w:rPr>
            </w:pPr>
            <w:r>
              <w:rPr>
                <w:rFonts w:hint="eastAsia" w:ascii="华文细黑" w:hAnsi="华文细黑" w:eastAsia="华文细黑" w:cs="华文细黑"/>
              </w:rPr>
              <w:drawing>
                <wp:inline distT="0" distB="0" distL="0" distR="0">
                  <wp:extent cx="2344420" cy="3476625"/>
                  <wp:effectExtent l="0" t="0" r="5080" b="3175"/>
                  <wp:docPr id="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a:xfrm>
                            <a:off x="0" y="0"/>
                            <a:ext cx="2374963" cy="3521989"/>
                          </a:xfrm>
                          <a:prstGeom prst="rect">
                            <a:avLst/>
                          </a:prstGeom>
                          <a:noFill/>
                          <a:ln>
                            <a:noFill/>
                          </a:ln>
                        </pic:spPr>
                      </pic:pic>
                    </a:graphicData>
                  </a:graphic>
                </wp:inline>
              </w:drawing>
            </w:r>
          </w:p>
        </w:tc>
        <w:tc>
          <w:tcPr>
            <w:tcW w:w="4261" w:type="dxa"/>
            <w:tcBorders>
              <w:top w:val="nil"/>
              <w:left w:val="nil"/>
              <w:bottom w:val="nil"/>
              <w:right w:val="nil"/>
            </w:tcBorders>
          </w:tcPr>
          <w:p w14:paraId="04F7DA36">
            <w:pPr>
              <w:ind w:firstLine="0" w:firstLineChars="0"/>
              <w:jc w:val="center"/>
              <w:rPr>
                <w:rFonts w:hint="eastAsia" w:ascii="华文细黑" w:hAnsi="华文细黑" w:eastAsia="华文细黑" w:cs="华文细黑"/>
              </w:rPr>
            </w:pPr>
            <w:r>
              <w:rPr>
                <w:rFonts w:hint="eastAsia" w:ascii="华文细黑" w:hAnsi="华文细黑" w:eastAsia="华文细黑" w:cs="华文细黑"/>
              </w:rPr>
              <w:drawing>
                <wp:inline distT="0" distB="0" distL="114300" distR="114300">
                  <wp:extent cx="2764155" cy="3485515"/>
                  <wp:effectExtent l="0" t="0" r="4445" b="6985"/>
                  <wp:docPr id="18" name="图片 18" descr="3.2-俱乐部外观对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3.2-俱乐部外观对比"/>
                          <pic:cNvPicPr>
                            <a:picLocks noChangeAspect="1"/>
                          </pic:cNvPicPr>
                        </pic:nvPicPr>
                        <pic:blipFill>
                          <a:blip r:embed="rId22"/>
                          <a:stretch>
                            <a:fillRect/>
                          </a:stretch>
                        </pic:blipFill>
                        <pic:spPr>
                          <a:xfrm>
                            <a:off x="0" y="0"/>
                            <a:ext cx="2764155" cy="3485515"/>
                          </a:xfrm>
                          <a:prstGeom prst="rect">
                            <a:avLst/>
                          </a:prstGeom>
                        </pic:spPr>
                      </pic:pic>
                    </a:graphicData>
                  </a:graphic>
                </wp:inline>
              </w:drawing>
            </w:r>
          </w:p>
        </w:tc>
      </w:tr>
      <w:tr w14:paraId="75D27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Borders>
              <w:top w:val="nil"/>
              <w:left w:val="nil"/>
              <w:bottom w:val="nil"/>
              <w:right w:val="nil"/>
            </w:tcBorders>
          </w:tcPr>
          <w:p w14:paraId="36BDA6C4">
            <w:pPr>
              <w:ind w:firstLine="0" w:firstLineChars="0"/>
              <w:jc w:val="center"/>
              <w:rPr>
                <w:rFonts w:hint="eastAsia" w:ascii="华文细黑" w:hAnsi="华文细黑" w:eastAsia="华文细黑" w:cs="华文细黑"/>
              </w:rPr>
            </w:pPr>
            <w:r>
              <w:rPr>
                <w:rFonts w:hint="eastAsia" w:ascii="华文细黑" w:hAnsi="华文细黑" w:eastAsia="华文细黑" w:cs="华文细黑"/>
              </w:rPr>
              <w:t>图9：新法国俱乐部</w:t>
            </w:r>
            <w:r>
              <w:rPr>
                <w:rFonts w:hint="eastAsia" w:ascii="华文细黑" w:hAnsi="华文细黑" w:eastAsia="华文细黑" w:cs="华文细黑"/>
                <w:lang w:val="en-US" w:eastAsia="zh-CN"/>
              </w:rPr>
              <w:t>设计</w:t>
            </w:r>
            <w:r>
              <w:rPr>
                <w:rFonts w:hint="eastAsia" w:ascii="华文细黑" w:hAnsi="华文细黑" w:eastAsia="华文细黑" w:cs="华文细黑"/>
              </w:rPr>
              <w:t>图</w:t>
            </w:r>
          </w:p>
        </w:tc>
        <w:tc>
          <w:tcPr>
            <w:tcW w:w="4261" w:type="dxa"/>
            <w:tcBorders>
              <w:top w:val="nil"/>
              <w:left w:val="nil"/>
              <w:bottom w:val="nil"/>
              <w:right w:val="nil"/>
            </w:tcBorders>
          </w:tcPr>
          <w:p w14:paraId="491E0EBA">
            <w:pPr>
              <w:ind w:firstLine="0" w:firstLineChars="0"/>
              <w:jc w:val="center"/>
              <w:rPr>
                <w:rFonts w:hint="eastAsia" w:ascii="华文细黑" w:hAnsi="华文细黑" w:eastAsia="华文细黑" w:cs="华文细黑"/>
              </w:rPr>
            </w:pPr>
            <w:r>
              <w:rPr>
                <w:rFonts w:hint="eastAsia" w:ascii="华文细黑" w:hAnsi="华文细黑" w:eastAsia="华文细黑" w:cs="华文细黑"/>
              </w:rPr>
              <w:t>图10：新旧法国俱乐部外观对比</w:t>
            </w:r>
          </w:p>
        </w:tc>
      </w:tr>
    </w:tbl>
    <w:p w14:paraId="18517297">
      <w:pPr>
        <w:ind w:firstLine="480"/>
      </w:pPr>
      <w:r>
        <w:rPr>
          <w:rFonts w:hint="eastAsia"/>
        </w:rPr>
        <w:t>与此同时，魏森霍夫住宅展</w:t>
      </w:r>
      <w:r>
        <w:rPr>
          <w:rStyle w:val="14"/>
          <w:rFonts w:hint="eastAsia"/>
        </w:rPr>
        <w:t>[</w:t>
      </w:r>
      <w:r>
        <w:rPr>
          <w:rStyle w:val="14"/>
          <w:rFonts w:hint="eastAsia"/>
        </w:rPr>
        <w:endnoteReference w:id="57"/>
      </w:r>
      <w:r>
        <w:rPr>
          <w:rStyle w:val="14"/>
          <w:rFonts w:hint="eastAsia"/>
        </w:rPr>
        <w:t>]</w:t>
      </w:r>
      <w:r>
        <w:rPr>
          <w:rFonts w:hint="eastAsia"/>
        </w:rPr>
        <w:t>在欧洲举行，现代主义已然兴起。布扎体系与新兴的建筑风格或现代主义并不冲突，例如保罗.克瑞作为“布扎”引入美国宾大的重要人员，他的福尔杰莎士比亚图书馆（图11）也是彻底简化了古典形式，将古典传统应用于现代主义的创新中。义品建筑师也具有此类转变的代表，沃卡特入职义品公司之前，在巴黎和布鲁塞尔的事务所中共事的建筑师就已经探索过Hennebique类型的钢筋混凝土结构所提供的可能性</w:t>
      </w:r>
      <w:r>
        <w:rPr>
          <w:rStyle w:val="14"/>
          <w:rFonts w:hint="eastAsia"/>
        </w:rPr>
        <w:t>[</w:t>
      </w:r>
      <w:r>
        <w:rPr>
          <w:rStyle w:val="14"/>
          <w:rFonts w:hint="eastAsia"/>
        </w:rPr>
        <w:endnoteReference w:id="58"/>
      </w:r>
      <w:r>
        <w:rPr>
          <w:rStyle w:val="14"/>
          <w:rFonts w:hint="eastAsia"/>
        </w:rPr>
        <w:t>]</w:t>
      </w:r>
      <w:r>
        <w:rPr>
          <w:rFonts w:hint="eastAsia"/>
        </w:rPr>
        <w:t>，抵达天津的第一、二任期，他指导了具有学院派特点的北疆博物院（图12），之后他曾经在蜜月旅行中乘船抵达美国，美国各式现代建筑为他的建筑理念注入了新鲜血液，</w:t>
      </w:r>
      <w:r>
        <w:rPr>
          <w:rStyle w:val="14"/>
          <w:rFonts w:hint="eastAsia"/>
        </w:rPr>
        <w:t>[</w:t>
      </w:r>
      <w:r>
        <w:rPr>
          <w:rStyle w:val="14"/>
          <w:rFonts w:hint="eastAsia"/>
        </w:rPr>
        <w:endnoteReference w:id="59"/>
      </w:r>
      <w:r>
        <w:rPr>
          <w:rStyle w:val="14"/>
          <w:rFonts w:hint="eastAsia"/>
        </w:rPr>
        <w:t>]</w:t>
      </w:r>
      <w:r>
        <w:rPr>
          <w:rFonts w:hint="eastAsia"/>
        </w:rPr>
        <w:t>从一战前的学院派到20世纪30年代的国际风格现代主义，他被视为中国的“现代化代理人”（agent de modernité）</w:t>
      </w:r>
      <w:r>
        <w:rPr>
          <w:rStyle w:val="14"/>
          <w:rFonts w:hint="eastAsia"/>
        </w:rPr>
        <w:t>[</w:t>
      </w:r>
      <w:r>
        <w:rPr>
          <w:rStyle w:val="14"/>
          <w:rFonts w:hint="eastAsia"/>
        </w:rPr>
        <w:endnoteReference w:id="60"/>
      </w:r>
      <w:r>
        <w:rPr>
          <w:rStyle w:val="14"/>
          <w:rFonts w:hint="eastAsia"/>
        </w:rPr>
        <w:t>]</w:t>
      </w:r>
      <w:r>
        <w:rPr>
          <w:rFonts w:hint="eastAsia"/>
        </w:rPr>
        <w:t>。1934年沃卡特回到天津义品公司的第三任期，他将现代主义的手法应用于一些住宅当中，例如英租界伦敦路上为中兴煤矿公司和中兴航运公司的董事张叔诚所作的住宅（图13），小体量的作品中将折衷“语料”进行了完全的简化，由竖向构图转变为现代主义的横向分隔，立面中心是水平延伸的大型混凝土阳台，西侧配以圆形的柔和体量。20世纪30年代，经济危机延伸到上海和香港，义品公司整体利润持续下降，30年代末期至40年代初，战争与时局的变化形成了对义品公司业务的阻碍，现代主义在租界内没有大范围出现于更多的公共建筑当中。</w:t>
      </w:r>
    </w:p>
    <w:tbl>
      <w:tblPr>
        <w:tblStyle w:val="11"/>
        <w:tblW w:w="83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83"/>
        <w:gridCol w:w="4217"/>
      </w:tblGrid>
      <w:tr w14:paraId="4179B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83" w:type="dxa"/>
            <w:tcBorders>
              <w:top w:val="nil"/>
              <w:left w:val="nil"/>
              <w:bottom w:val="nil"/>
              <w:right w:val="nil"/>
            </w:tcBorders>
          </w:tcPr>
          <w:p w14:paraId="16B38777">
            <w:pPr>
              <w:ind w:firstLine="0" w:firstLineChars="0"/>
              <w:jc w:val="center"/>
              <w:rPr>
                <w:rFonts w:hint="eastAsia" w:ascii="华文细黑" w:hAnsi="华文细黑" w:eastAsia="华文细黑" w:cs="华文细黑"/>
              </w:rPr>
            </w:pPr>
            <w:r>
              <w:rPr>
                <w:rFonts w:hint="eastAsia" w:ascii="华文细黑" w:hAnsi="华文细黑" w:eastAsia="华文细黑" w:cs="华文细黑"/>
              </w:rPr>
              <w:drawing>
                <wp:inline distT="0" distB="0" distL="0" distR="0">
                  <wp:extent cx="2552065" cy="1925955"/>
                  <wp:effectExtent l="0" t="0" r="635" b="4445"/>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a:xfrm>
                            <a:off x="0" y="0"/>
                            <a:ext cx="2575630" cy="1943428"/>
                          </a:xfrm>
                          <a:prstGeom prst="rect">
                            <a:avLst/>
                          </a:prstGeom>
                          <a:noFill/>
                          <a:ln>
                            <a:noFill/>
                          </a:ln>
                        </pic:spPr>
                      </pic:pic>
                    </a:graphicData>
                  </a:graphic>
                </wp:inline>
              </w:drawing>
            </w:r>
          </w:p>
        </w:tc>
        <w:tc>
          <w:tcPr>
            <w:tcW w:w="4217" w:type="dxa"/>
            <w:tcBorders>
              <w:top w:val="nil"/>
              <w:left w:val="nil"/>
              <w:bottom w:val="nil"/>
              <w:right w:val="nil"/>
            </w:tcBorders>
          </w:tcPr>
          <w:p w14:paraId="56E43AC2">
            <w:pPr>
              <w:ind w:firstLine="0" w:firstLineChars="0"/>
              <w:jc w:val="center"/>
              <w:rPr>
                <w:rFonts w:hint="eastAsia" w:ascii="华文细黑" w:hAnsi="华文细黑" w:eastAsia="华文细黑" w:cs="华文细黑"/>
              </w:rPr>
            </w:pPr>
            <w:r>
              <w:rPr>
                <w:rFonts w:hint="eastAsia" w:ascii="华文细黑" w:hAnsi="华文细黑" w:eastAsia="华文细黑" w:cs="华文细黑"/>
              </w:rPr>
              <w:drawing>
                <wp:inline distT="0" distB="0" distL="114300" distR="114300">
                  <wp:extent cx="2630805" cy="1922145"/>
                  <wp:effectExtent l="0" t="0" r="10795" b="8255"/>
                  <wp:docPr id="9" name="图片 9" descr="3.2-北疆博物院 来自CFEO 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3.2-北疆博物院 来自CFEO ALBUM"/>
                          <pic:cNvPicPr>
                            <a:picLocks noChangeAspect="1"/>
                          </pic:cNvPicPr>
                        </pic:nvPicPr>
                        <pic:blipFill>
                          <a:blip r:embed="rId24"/>
                          <a:srcRect l="3745"/>
                          <a:stretch>
                            <a:fillRect/>
                          </a:stretch>
                        </pic:blipFill>
                        <pic:spPr>
                          <a:xfrm>
                            <a:off x="0" y="0"/>
                            <a:ext cx="2650907" cy="1936739"/>
                          </a:xfrm>
                          <a:prstGeom prst="rect">
                            <a:avLst/>
                          </a:prstGeom>
                        </pic:spPr>
                      </pic:pic>
                    </a:graphicData>
                  </a:graphic>
                </wp:inline>
              </w:drawing>
            </w:r>
          </w:p>
        </w:tc>
      </w:tr>
      <w:tr w14:paraId="57740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83" w:type="dxa"/>
            <w:tcBorders>
              <w:top w:val="nil"/>
              <w:left w:val="nil"/>
              <w:bottom w:val="nil"/>
              <w:right w:val="nil"/>
            </w:tcBorders>
          </w:tcPr>
          <w:p w14:paraId="14A058D5">
            <w:pPr>
              <w:ind w:firstLine="0" w:firstLineChars="0"/>
              <w:jc w:val="center"/>
              <w:rPr>
                <w:rFonts w:hint="eastAsia" w:ascii="华文细黑" w:hAnsi="华文细黑" w:eastAsia="华文细黑" w:cs="华文细黑"/>
              </w:rPr>
            </w:pPr>
            <w:r>
              <w:rPr>
                <w:rFonts w:hint="eastAsia" w:ascii="华文细黑" w:hAnsi="华文细黑" w:eastAsia="华文细黑" w:cs="华文细黑"/>
              </w:rPr>
              <w:t>图11：福尔杰莎士比亚图书馆</w:t>
            </w:r>
          </w:p>
        </w:tc>
        <w:tc>
          <w:tcPr>
            <w:tcW w:w="4217" w:type="dxa"/>
            <w:tcBorders>
              <w:top w:val="nil"/>
              <w:left w:val="nil"/>
              <w:bottom w:val="nil"/>
              <w:right w:val="nil"/>
            </w:tcBorders>
          </w:tcPr>
          <w:p w14:paraId="267144A1">
            <w:pPr>
              <w:ind w:firstLine="0" w:firstLineChars="0"/>
              <w:jc w:val="center"/>
              <w:rPr>
                <w:rFonts w:hint="eastAsia" w:ascii="华文细黑" w:hAnsi="华文细黑" w:eastAsia="华文细黑" w:cs="华文细黑"/>
              </w:rPr>
            </w:pPr>
            <w:r>
              <w:rPr>
                <w:rFonts w:hint="eastAsia" w:ascii="华文细黑" w:hAnsi="华文细黑" w:eastAsia="华文细黑" w:cs="华文细黑"/>
              </w:rPr>
              <w:t>图12：建设中的北疆博物院</w:t>
            </w:r>
          </w:p>
        </w:tc>
      </w:tr>
    </w:tbl>
    <w:p w14:paraId="0F00FA53">
      <w:pPr>
        <w:ind w:firstLine="0" w:firstLineChars="0"/>
        <w:rPr>
          <w:rFonts w:hint="eastAsia" w:ascii="华文细黑" w:hAnsi="华文细黑" w:eastAsia="华文细黑" w:cs="华文细黑"/>
        </w:rPr>
      </w:pPr>
    </w:p>
    <w:p w14:paraId="1B96B4DA">
      <w:pPr>
        <w:ind w:firstLine="0" w:firstLineChars="0"/>
        <w:rPr>
          <w:rFonts w:hint="eastAsia" w:ascii="华文细黑" w:hAnsi="华文细黑" w:eastAsia="华文细黑" w:cs="华文细黑"/>
        </w:rPr>
      </w:pPr>
      <w:r>
        <w:rPr>
          <w:rFonts w:hint="eastAsia" w:ascii="华文细黑" w:hAnsi="华文细黑" w:eastAsia="华文细黑" w:cs="华文细黑"/>
        </w:rPr>
        <w:drawing>
          <wp:inline distT="0" distB="0" distL="114300" distR="114300">
            <wp:extent cx="2451735" cy="2752090"/>
            <wp:effectExtent l="0" t="0" r="12065" b="3810"/>
            <wp:docPr id="17" name="图片 17" descr="3.2-张叔诚住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3.2-张叔诚住宅"/>
                    <pic:cNvPicPr>
                      <a:picLocks noChangeAspect="1"/>
                    </pic:cNvPicPr>
                  </pic:nvPicPr>
                  <pic:blipFill>
                    <a:blip r:embed="rId25"/>
                    <a:stretch>
                      <a:fillRect/>
                    </a:stretch>
                  </pic:blipFill>
                  <pic:spPr>
                    <a:xfrm>
                      <a:off x="0" y="0"/>
                      <a:ext cx="2451735" cy="2752090"/>
                    </a:xfrm>
                    <a:prstGeom prst="rect">
                      <a:avLst/>
                    </a:prstGeom>
                  </pic:spPr>
                </pic:pic>
              </a:graphicData>
            </a:graphic>
          </wp:inline>
        </w:drawing>
      </w:r>
    </w:p>
    <w:p w14:paraId="4DAB2F70">
      <w:pPr>
        <w:ind w:firstLine="0" w:firstLineChars="0"/>
        <w:rPr>
          <w:rFonts w:hint="eastAsia" w:ascii="华文细黑" w:hAnsi="华文细黑" w:eastAsia="华文细黑" w:cs="华文细黑"/>
        </w:rPr>
      </w:pPr>
      <w:r>
        <w:rPr>
          <w:rFonts w:hint="eastAsia" w:ascii="华文细黑" w:hAnsi="华文细黑" w:eastAsia="华文细黑" w:cs="华文细黑"/>
        </w:rPr>
        <w:t>图13：张叔诚住宅</w:t>
      </w:r>
    </w:p>
    <w:p w14:paraId="1D59FFA0">
      <w:pPr>
        <w:numPr>
          <w:ilvl w:val="0"/>
          <w:numId w:val="3"/>
        </w:numPr>
        <w:ind w:firstLine="480"/>
        <w:rPr>
          <w:color w:val="2E54A1" w:themeColor="accent1" w:themeShade="BF"/>
        </w:rPr>
      </w:pPr>
      <w:r>
        <w:rPr>
          <w:rFonts w:hint="eastAsia"/>
        </w:rPr>
        <w:t>作为职业体制的布扎——建筑生长环境的多样性</w:t>
      </w:r>
    </w:p>
    <w:p w14:paraId="7432610E">
      <w:pPr>
        <w:ind w:firstLine="480"/>
      </w:pPr>
      <w:r>
        <w:rPr>
          <w:rFonts w:hint="eastAsia"/>
        </w:rPr>
        <w:t>作为职业体制而言的“布扎”同时具有官方赞助属性，与国家密不可分。巴黎美院的毕业生常在国家专业机构里任职，作为公职人员以设计政府项目，而罗马大奖获得者回国后也被要求在国家代表性建筑中复制欧洲古建筑的荣光来表达对政权的礼赞。</w:t>
      </w:r>
      <w:r>
        <w:rPr>
          <w:rStyle w:val="14"/>
          <w:rFonts w:hint="eastAsia"/>
        </w:rPr>
        <w:t>[</w:t>
      </w:r>
      <w:r>
        <w:rPr>
          <w:rStyle w:val="14"/>
          <w:rFonts w:hint="eastAsia"/>
        </w:rPr>
        <w:endnoteReference w:id="61"/>
      </w:r>
      <w:r>
        <w:rPr>
          <w:rStyle w:val="14"/>
          <w:rFonts w:hint="eastAsia"/>
        </w:rPr>
        <w:t>]</w:t>
      </w:r>
      <w:r>
        <w:rPr>
          <w:rFonts w:hint="eastAsia"/>
        </w:rPr>
        <w:t>根特皇家美术学院于1771年获得奥地利女皇玛丽亚-特蕾莎（Marie-Thérèse）颁发的皇家宪章( la charte royale )。这一批准使学校得以保持其声望，完成从私立学院到 "皇家学院 "的转变。布鲁塞尔皇家美术学院即起源于市政厅为当时的画家、雕塑家等提供的一个房间，以代表官方对他们的鼓励。日内瓦美术学院的成立也得益于1748年作为立法机构的“大议会”</w:t>
      </w:r>
      <w:r>
        <w:rPr>
          <w:rStyle w:val="14"/>
          <w:rFonts w:hint="eastAsia"/>
        </w:rPr>
        <w:t>[</w:t>
      </w:r>
      <w:r>
        <w:rPr>
          <w:rStyle w:val="14"/>
          <w:rFonts w:hint="eastAsia"/>
        </w:rPr>
        <w:endnoteReference w:id="62"/>
      </w:r>
      <w:r>
        <w:rPr>
          <w:rStyle w:val="14"/>
          <w:rFonts w:hint="eastAsia"/>
        </w:rPr>
        <w:t>]</w:t>
      </w:r>
      <w:r>
        <w:rPr>
          <w:rFonts w:hint="eastAsia"/>
        </w:rPr>
        <w:t>。除租界外，学院派风格也时常出现于法属殖民地的公共建筑上</w:t>
      </w:r>
      <w:r>
        <w:rPr>
          <w:rStyle w:val="14"/>
          <w:rFonts w:hint="eastAsia"/>
        </w:rPr>
        <w:t>[</w:t>
      </w:r>
      <w:r>
        <w:rPr>
          <w:rStyle w:val="14"/>
          <w:rFonts w:hint="eastAsia"/>
        </w:rPr>
        <w:endnoteReference w:id="63"/>
      </w:r>
      <w:r>
        <w:rPr>
          <w:rStyle w:val="14"/>
          <w:rFonts w:hint="eastAsia"/>
        </w:rPr>
        <w:t>]</w:t>
      </w:r>
      <w:r>
        <w:rPr>
          <w:rFonts w:hint="eastAsia"/>
        </w:rPr>
        <w:t xml:space="preserve">，以呼应宗主国的特点与权威，例如法属印度支那首府河内的总督府（今越南主席府）、大剧院（今越南河内大剧院）等（图14）。义品公司建筑师遵循这种职业体制，在天津这一容纳多国租界的城市中以建筑设计投射法兰西意识，与多个营造司与事务所展开竞争又共同塑造近代建筑生长环境的多样性。 </w:t>
      </w:r>
    </w:p>
    <w:p w14:paraId="4643EBAE">
      <w:pPr>
        <w:ind w:firstLine="0" w:firstLineChars="0"/>
        <w:rPr>
          <w:rFonts w:hint="eastAsia" w:ascii="华文细黑" w:hAnsi="华文细黑" w:eastAsia="华文细黑" w:cs="华文细黑"/>
        </w:rPr>
      </w:pPr>
      <w:r>
        <w:rPr>
          <w:rFonts w:hint="eastAsia" w:ascii="华文细黑" w:hAnsi="华文细黑" w:eastAsia="华文细黑" w:cs="华文细黑"/>
        </w:rPr>
        <w:drawing>
          <wp:inline distT="0" distB="0" distL="0" distR="0">
            <wp:extent cx="5274945" cy="1833880"/>
            <wp:effectExtent l="0" t="0" r="1905" b="0"/>
            <wp:docPr id="80793004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930040" name="图片 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a:xfrm>
                      <a:off x="0" y="0"/>
                      <a:ext cx="5274945" cy="1833880"/>
                    </a:xfrm>
                    <a:prstGeom prst="rect">
                      <a:avLst/>
                    </a:prstGeom>
                    <a:noFill/>
                    <a:ln>
                      <a:noFill/>
                    </a:ln>
                  </pic:spPr>
                </pic:pic>
              </a:graphicData>
            </a:graphic>
          </wp:inline>
        </w:drawing>
      </w:r>
    </w:p>
    <w:p w14:paraId="449BBBCF">
      <w:pPr>
        <w:ind w:firstLine="0" w:firstLineChars="0"/>
        <w:rPr>
          <w:rFonts w:hint="eastAsia" w:ascii="华文细黑" w:hAnsi="华文细黑" w:eastAsia="华文细黑" w:cs="华文细黑"/>
        </w:rPr>
      </w:pPr>
      <w:r>
        <w:rPr>
          <w:rFonts w:hint="eastAsia" w:ascii="华文细黑" w:hAnsi="华文细黑" w:eastAsia="华文细黑" w:cs="华文细黑"/>
        </w:rPr>
        <w:t>图14：越南主席府、越南河内大剧院</w:t>
      </w:r>
    </w:p>
    <w:p w14:paraId="0DA32C7C">
      <w:pPr>
        <w:ind w:firstLine="420" w:firstLineChars="0"/>
      </w:pPr>
      <w:r>
        <w:rPr>
          <w:rFonts w:hint="eastAsia"/>
        </w:rPr>
        <w:t>就义品公司企业性质而言，其在天津租界的运作中与法国当局保持着密切的联系。作为法租界内影响力最为广泛、资本最雄厚的房地产公司之一，义品公司持有大量当地资产以及在巴黎母公司</w:t>
      </w:r>
      <w:r>
        <w:rPr>
          <w:rStyle w:val="14"/>
          <w:rFonts w:hint="eastAsia"/>
        </w:rPr>
        <w:t>[</w:t>
      </w:r>
      <w:r>
        <w:rPr>
          <w:rStyle w:val="14"/>
          <w:rFonts w:hint="eastAsia"/>
        </w:rPr>
        <w:endnoteReference w:id="64"/>
      </w:r>
      <w:r>
        <w:rPr>
          <w:rStyle w:val="14"/>
          <w:rFonts w:hint="eastAsia"/>
        </w:rPr>
        <w:t>]</w:t>
      </w:r>
      <w:r>
        <w:rPr>
          <w:rFonts w:hint="eastAsia"/>
        </w:rPr>
        <w:t>等股份支持，从而与法租界当局有着密切的关系往来</w:t>
      </w:r>
      <w:r>
        <w:rPr>
          <w:rStyle w:val="14"/>
          <w:rFonts w:hint="eastAsia"/>
        </w:rPr>
        <w:t>[</w:t>
      </w:r>
      <w:r>
        <w:rPr>
          <w:rStyle w:val="14"/>
          <w:rFonts w:hint="eastAsia"/>
        </w:rPr>
        <w:endnoteReference w:id="65"/>
      </w:r>
      <w:r>
        <w:rPr>
          <w:rStyle w:val="14"/>
          <w:rFonts w:hint="eastAsia"/>
        </w:rPr>
        <w:t>]</w:t>
      </w:r>
      <w:r>
        <w:rPr>
          <w:rFonts w:hint="eastAsia"/>
        </w:rPr>
        <w:t>。租界当局所委托的建筑项目也需要学院派的建筑师来完成资产阶级民族国家租界建设的政治理念。另外，整体公司的运作在与时俱进的同时始终保持巴黎总公司的调控与决策权利，这是时局动荡时期所需，学院派建筑师进入义品公司也成为当下的必然选择。义品公司与法租界当局的往来也较为密切，例如早期任职于义品公司的中国资本家周振东于1924年调任法租界公议局</w:t>
      </w:r>
      <w:r>
        <w:rPr>
          <w:rStyle w:val="14"/>
          <w:rFonts w:hint="eastAsia"/>
        </w:rPr>
        <w:t>[</w:t>
      </w:r>
      <w:r>
        <w:rPr>
          <w:rStyle w:val="14"/>
          <w:rFonts w:hint="eastAsia"/>
        </w:rPr>
        <w:endnoteReference w:id="66"/>
      </w:r>
      <w:r>
        <w:rPr>
          <w:rStyle w:val="14"/>
          <w:rFonts w:hint="eastAsia"/>
        </w:rPr>
        <w:t>]</w:t>
      </w:r>
      <w:r>
        <w:rPr>
          <w:rFonts w:hint="eastAsia"/>
        </w:rPr>
        <w:t>。另外，由于法租界董事会选举人资格往往以其在租界内资产和纳税情况所定，故义品公司及其股份持有者的法国财团上层领导往往成为法租界公议局董事会成员，参与市政管理。由此，为义品公司建筑师在项目上的实践提供了支持与保障，是“布扎”作为职业性质的体现。</w:t>
      </w:r>
    </w:p>
    <w:p w14:paraId="7A3504C8">
      <w:pPr>
        <w:ind w:firstLine="420" w:firstLineChars="0"/>
      </w:pPr>
      <w:r>
        <w:rPr>
          <w:rFonts w:hint="eastAsia"/>
        </w:rPr>
        <w:t>除此之外，与其它事务所相比，义品公司与时俱进的设计水准亦受到法国官方的青睐。20世纪初天津的大型外商营造公司也多数用巴黎美院建筑师，例如永和营造司的主要建筑师保罗.慕乐在门德尔松调任至天津之前已经凭借中法工商银行、劝业场等作品小有名气，义品公司建筑师吉耶在入职上海分公司前也是在天津永和营造司任职</w:t>
      </w:r>
      <w:r>
        <w:rPr>
          <w:rStyle w:val="14"/>
          <w:rFonts w:hint="eastAsia"/>
        </w:rPr>
        <w:t>[</w:t>
      </w:r>
      <w:r>
        <w:rPr>
          <w:rStyle w:val="14"/>
          <w:rFonts w:hint="eastAsia"/>
        </w:rPr>
        <w:endnoteReference w:id="67"/>
      </w:r>
      <w:r>
        <w:rPr>
          <w:rStyle w:val="14"/>
          <w:rFonts w:hint="eastAsia"/>
        </w:rPr>
        <w:t>]</w:t>
      </w:r>
      <w:r>
        <w:rPr>
          <w:rFonts w:hint="eastAsia"/>
        </w:rPr>
        <w:t>，他与慕乐都曾担任天津工商学院的设计工作。如前文提及，义品公司的设计特点是“语料”的简化和“构成”的延续。对比同一建筑群内的工商学院教学大楼与北疆博物院（图15），前者极具古典复兴特点，尤其是构图中心的屋顶与主立面的处理，运用了与卢浮宫主入口方向立面几乎相同的元素组织方法</w:t>
      </w:r>
      <w:r>
        <w:rPr>
          <w:rStyle w:val="14"/>
          <w:rFonts w:hint="eastAsia"/>
        </w:rPr>
        <w:t>[</w:t>
      </w:r>
      <w:r>
        <w:rPr>
          <w:rStyle w:val="14"/>
          <w:rFonts w:hint="eastAsia"/>
        </w:rPr>
        <w:endnoteReference w:id="68"/>
      </w:r>
      <w:r>
        <w:rPr>
          <w:rStyle w:val="14"/>
          <w:rFonts w:hint="eastAsia"/>
        </w:rPr>
        <w:t>]</w:t>
      </w:r>
      <w:r>
        <w:rPr>
          <w:rFonts w:hint="eastAsia"/>
        </w:rPr>
        <w:t xml:space="preserve">；后者相较而言其古典元素有了明显的减少和演化，以线脚代替柱式，以几何化的收分代替山花。当义品公司具有现代意味的新艺术风格作品百福大楼已然建成时，永和营造司的商业建筑作品劝业场更是古典元素作“语料”的典型，直至20世纪30年代末期，才出现了渤海大楼（1936年）、利华大楼（1938）等简化古典装饰、具有现代特点的作品（图16）。对于法国当局和侨民而言，形式上的“摩登”正逢他们的喜好，因此在官方建筑公议局大楼和法国俱乐部的设计竞赛中，尽管永和营造司都曾参与方案的竞争，最终均以义品公司的方案中选为结果，以其设计理念与法国当局所需的适配性。   </w:t>
      </w:r>
    </w:p>
    <w:tbl>
      <w:tblPr>
        <w:tblStyle w:val="11"/>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87"/>
        <w:gridCol w:w="5510"/>
      </w:tblGrid>
      <w:tr w14:paraId="4BDB8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87" w:type="dxa"/>
            <w:tcBorders>
              <w:top w:val="nil"/>
              <w:left w:val="nil"/>
              <w:bottom w:val="nil"/>
              <w:right w:val="nil"/>
            </w:tcBorders>
          </w:tcPr>
          <w:p w14:paraId="5D2C36BD">
            <w:pPr>
              <w:ind w:firstLine="0" w:firstLineChars="0"/>
              <w:jc w:val="center"/>
            </w:pPr>
            <w:r>
              <w:rPr>
                <w:rFonts w:hint="eastAsia"/>
              </w:rPr>
              <w:drawing>
                <wp:inline distT="0" distB="0" distL="0" distR="0">
                  <wp:extent cx="1876425" cy="2478405"/>
                  <wp:effectExtent l="0" t="0" r="3175" b="10795"/>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a:xfrm>
                            <a:off x="0" y="0"/>
                            <a:ext cx="1911359" cy="2524680"/>
                          </a:xfrm>
                          <a:prstGeom prst="rect">
                            <a:avLst/>
                          </a:prstGeom>
                          <a:noFill/>
                          <a:ln>
                            <a:noFill/>
                          </a:ln>
                        </pic:spPr>
                      </pic:pic>
                    </a:graphicData>
                  </a:graphic>
                </wp:inline>
              </w:drawing>
            </w:r>
          </w:p>
        </w:tc>
        <w:tc>
          <w:tcPr>
            <w:tcW w:w="5510" w:type="dxa"/>
            <w:tcBorders>
              <w:top w:val="nil"/>
              <w:left w:val="nil"/>
              <w:bottom w:val="nil"/>
              <w:right w:val="nil"/>
            </w:tcBorders>
          </w:tcPr>
          <w:p w14:paraId="25FBDC83">
            <w:pPr>
              <w:ind w:firstLine="0" w:firstLineChars="0"/>
            </w:pPr>
            <w:r>
              <w:rPr>
                <w:rFonts w:hint="eastAsia"/>
              </w:rPr>
              <w:drawing>
                <wp:inline distT="0" distB="0" distL="0" distR="0">
                  <wp:extent cx="3395345" cy="2503170"/>
                  <wp:effectExtent l="0" t="0" r="8255" b="1143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a:xfrm>
                            <a:off x="0" y="0"/>
                            <a:ext cx="3415004" cy="2517532"/>
                          </a:xfrm>
                          <a:prstGeom prst="rect">
                            <a:avLst/>
                          </a:prstGeom>
                          <a:noFill/>
                          <a:ln>
                            <a:noFill/>
                          </a:ln>
                        </pic:spPr>
                      </pic:pic>
                    </a:graphicData>
                  </a:graphic>
                </wp:inline>
              </w:drawing>
            </w:r>
          </w:p>
        </w:tc>
      </w:tr>
      <w:tr w14:paraId="5B8F4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87" w:type="dxa"/>
            <w:tcBorders>
              <w:top w:val="nil"/>
              <w:left w:val="nil"/>
              <w:bottom w:val="nil"/>
              <w:right w:val="nil"/>
            </w:tcBorders>
          </w:tcPr>
          <w:p w14:paraId="6768F5A5">
            <w:pPr>
              <w:ind w:firstLine="0" w:firstLineChars="0"/>
              <w:jc w:val="center"/>
              <w:rPr>
                <w:rFonts w:hint="eastAsia" w:ascii="华文细黑" w:hAnsi="华文细黑" w:eastAsia="华文细黑" w:cs="华文细黑"/>
              </w:rPr>
            </w:pPr>
            <w:r>
              <w:rPr>
                <w:rFonts w:hint="eastAsia" w:ascii="华文细黑" w:hAnsi="华文细黑" w:eastAsia="华文细黑" w:cs="华文细黑"/>
              </w:rPr>
              <w:t>图15：天津工商学院、</w:t>
            </w:r>
          </w:p>
          <w:p w14:paraId="3E423510">
            <w:pPr>
              <w:ind w:firstLine="0" w:firstLineChars="0"/>
              <w:jc w:val="center"/>
              <w:rPr>
                <w:rFonts w:hint="eastAsia" w:ascii="华文细黑" w:hAnsi="华文细黑" w:eastAsia="华文细黑" w:cs="华文细黑"/>
              </w:rPr>
            </w:pPr>
            <w:r>
              <w:rPr>
                <w:rFonts w:hint="eastAsia" w:ascii="华文细黑" w:hAnsi="华文细黑" w:eastAsia="华文细黑" w:cs="华文细黑"/>
              </w:rPr>
              <w:t>北疆博物院</w:t>
            </w:r>
          </w:p>
          <w:p w14:paraId="026AA90E">
            <w:pPr>
              <w:ind w:firstLine="0" w:firstLineChars="0"/>
              <w:jc w:val="center"/>
            </w:pPr>
            <w:r>
              <w:rPr>
                <w:rFonts w:hint="eastAsia" w:ascii="华文细黑" w:hAnsi="华文细黑" w:eastAsia="华文细黑" w:cs="华文细黑"/>
                <w:lang w:eastAsia="zh-CN"/>
              </w:rPr>
              <w:t>（</w:t>
            </w:r>
            <w:r>
              <w:rPr>
                <w:rFonts w:hint="eastAsia" w:ascii="华文细黑" w:hAnsi="华文细黑" w:eastAsia="华文细黑" w:cs="华文细黑"/>
                <w:lang w:val="en-US" w:eastAsia="zh-CN"/>
              </w:rPr>
              <w:t>1927-1928年旧照</w:t>
            </w:r>
            <w:r>
              <w:rPr>
                <w:rFonts w:hint="eastAsia" w:ascii="华文细黑" w:hAnsi="华文细黑" w:eastAsia="华文细黑" w:cs="华文细黑"/>
                <w:lang w:eastAsia="zh-CN"/>
              </w:rPr>
              <w:t>）</w:t>
            </w:r>
          </w:p>
        </w:tc>
        <w:tc>
          <w:tcPr>
            <w:tcW w:w="5510" w:type="dxa"/>
            <w:tcBorders>
              <w:top w:val="nil"/>
              <w:left w:val="nil"/>
              <w:bottom w:val="nil"/>
              <w:right w:val="nil"/>
            </w:tcBorders>
          </w:tcPr>
          <w:p w14:paraId="3014FFCC">
            <w:pPr>
              <w:ind w:firstLine="0" w:firstLineChars="0"/>
              <w:jc w:val="center"/>
            </w:pPr>
            <w:r>
              <w:rPr>
                <w:rFonts w:hint="eastAsia" w:ascii="华文细黑" w:hAnsi="华文细黑" w:eastAsia="华文细黑" w:cs="华文细黑"/>
              </w:rPr>
              <w:t>图16：劝业场、利华大楼、渤海大楼</w:t>
            </w:r>
          </w:p>
        </w:tc>
      </w:tr>
    </w:tbl>
    <w:p w14:paraId="34B23117">
      <w:pPr>
        <w:ind w:firstLine="480"/>
      </w:pPr>
      <w:r>
        <w:rPr>
          <w:rFonts w:hint="eastAsia"/>
        </w:rPr>
        <w:t>天津作为近代租界最多的开埠城市，为法国“布扎”提供了多样的生长环境。在多国租界建设中，设计竞赛是法国租界重要建筑方案选择的特殊方式和重要环节。仍以法国俱乐部为例，1930年11月，</w:t>
      </w:r>
      <w:r>
        <w:rPr>
          <w:spacing w:val="-5"/>
        </w:rPr>
        <w:t>法国文化中心委员会</w:t>
      </w:r>
      <w:r>
        <w:rPr>
          <w:rFonts w:hint="eastAsia"/>
          <w:spacing w:val="-5"/>
        </w:rPr>
        <w:t>（</w:t>
      </w:r>
      <w:r>
        <w:rPr>
          <w:spacing w:val="-5"/>
        </w:rPr>
        <w:t>Le comité du Cercle Francais</w:t>
      </w:r>
      <w:r>
        <w:rPr>
          <w:rFonts w:hint="eastAsia"/>
          <w:spacing w:val="-5"/>
        </w:rPr>
        <w:t>）</w:t>
      </w:r>
      <w:r>
        <w:rPr>
          <w:spacing w:val="-5"/>
        </w:rPr>
        <w:t>与</w:t>
      </w:r>
      <w:r>
        <w:rPr>
          <w:rFonts w:hint="eastAsia"/>
          <w:spacing w:val="-5"/>
        </w:rPr>
        <w:t>公议局</w:t>
      </w:r>
      <w:r>
        <w:rPr>
          <w:spacing w:val="-5"/>
        </w:rPr>
        <w:t>达成一致，决定</w:t>
      </w:r>
      <w:r>
        <w:rPr>
          <w:rFonts w:hint="eastAsia"/>
          <w:spacing w:val="-5"/>
        </w:rPr>
        <w:t>举行由</w:t>
      </w:r>
      <w:r>
        <w:rPr>
          <w:spacing w:val="-5"/>
        </w:rPr>
        <w:t>文化中心</w:t>
      </w:r>
      <w:r>
        <w:rPr>
          <w:rFonts w:hint="eastAsia"/>
          <w:spacing w:val="-5"/>
        </w:rPr>
        <w:t>（la communauté française）</w:t>
      </w:r>
      <w:r>
        <w:rPr>
          <w:spacing w:val="-5"/>
        </w:rPr>
        <w:t>成员中的法国建筑师提交</w:t>
      </w:r>
      <w:r>
        <w:rPr>
          <w:rFonts w:hint="eastAsia"/>
          <w:spacing w:val="-5"/>
        </w:rPr>
        <w:t>图纸</w:t>
      </w:r>
      <w:r>
        <w:rPr>
          <w:spacing w:val="-5"/>
        </w:rPr>
        <w:t>的建筑项目竞赛</w:t>
      </w:r>
      <w:r>
        <w:rPr>
          <w:rFonts w:hint="eastAsia"/>
          <w:spacing w:val="-5"/>
        </w:rPr>
        <w:t>，</w:t>
      </w:r>
      <w:r>
        <w:rPr>
          <w:spacing w:val="-5"/>
        </w:rPr>
        <w:t>每位参赛者可自由提交一个或多个项目，参赛者将向法国文化中心提交草图</w:t>
      </w:r>
      <w:r>
        <w:rPr>
          <w:rFonts w:hint="eastAsia"/>
          <w:spacing w:val="-5"/>
        </w:rPr>
        <w:t>，最终门德尔松与米苏提交的方案被选中，作为主管建筑师的门德尔松还获得了1000美院作为奖金</w:t>
      </w:r>
      <w:r>
        <w:rPr>
          <w:rStyle w:val="14"/>
          <w:spacing w:val="-5"/>
        </w:rPr>
        <w:t>[</w:t>
      </w:r>
      <w:r>
        <w:rPr>
          <w:rStyle w:val="14"/>
          <w:spacing w:val="-5"/>
        </w:rPr>
        <w:endnoteReference w:id="69"/>
      </w:r>
      <w:r>
        <w:rPr>
          <w:rStyle w:val="14"/>
          <w:spacing w:val="-5"/>
        </w:rPr>
        <w:t>]</w:t>
      </w:r>
      <w:r>
        <w:rPr>
          <w:rFonts w:hint="eastAsia"/>
          <w:spacing w:val="-5"/>
        </w:rPr>
        <w:t>。而其他租界例如英租界工部局大楼、日租界公会堂等建筑则通过直接委托的方式选择设计方案</w:t>
      </w:r>
      <w:r>
        <w:rPr>
          <w:rStyle w:val="14"/>
          <w:rFonts w:hint="eastAsia"/>
          <w:spacing w:val="-5"/>
        </w:rPr>
        <w:t>[</w:t>
      </w:r>
      <w:r>
        <w:rPr>
          <w:rStyle w:val="14"/>
          <w:rFonts w:hint="eastAsia"/>
          <w:spacing w:val="-5"/>
        </w:rPr>
        <w:endnoteReference w:id="70"/>
      </w:r>
      <w:r>
        <w:rPr>
          <w:rStyle w:val="14"/>
          <w:rFonts w:hint="eastAsia"/>
          <w:spacing w:val="-5"/>
        </w:rPr>
        <w:t>]</w:t>
      </w:r>
      <w:r>
        <w:rPr>
          <w:rFonts w:hint="eastAsia"/>
          <w:spacing w:val="-5"/>
        </w:rPr>
        <w:t>；意租界工部局等通过公开招标的方式选择设计公司并由意大利当局直接管理</w:t>
      </w:r>
      <w:r>
        <w:rPr>
          <w:rStyle w:val="14"/>
          <w:rFonts w:hint="eastAsia"/>
          <w:spacing w:val="-5"/>
        </w:rPr>
        <w:t>[</w:t>
      </w:r>
      <w:r>
        <w:rPr>
          <w:rStyle w:val="14"/>
          <w:rFonts w:hint="eastAsia"/>
          <w:spacing w:val="-5"/>
        </w:rPr>
        <w:endnoteReference w:id="71"/>
      </w:r>
      <w:r>
        <w:rPr>
          <w:rStyle w:val="14"/>
          <w:rFonts w:hint="eastAsia"/>
          <w:spacing w:val="-5"/>
        </w:rPr>
        <w:t>]</w:t>
      </w:r>
      <w:r>
        <w:rPr>
          <w:rFonts w:hint="eastAsia"/>
          <w:spacing w:val="-5"/>
        </w:rPr>
        <w:t>。除天津外，例如同时期的上海法租界市政厅和警察局建筑也由法租界公董局为其发起竞赛，以不记名竞选的方式决定方案，竞赛设有三等奖项，最高奖金达一万六千沪币</w:t>
      </w:r>
      <w:r>
        <w:rPr>
          <w:rStyle w:val="14"/>
          <w:rFonts w:hint="eastAsia"/>
          <w:spacing w:val="-5"/>
        </w:rPr>
        <w:t>[</w:t>
      </w:r>
      <w:r>
        <w:rPr>
          <w:rStyle w:val="14"/>
          <w:rFonts w:hint="eastAsia"/>
          <w:spacing w:val="-5"/>
        </w:rPr>
        <w:endnoteReference w:id="72"/>
      </w:r>
      <w:r>
        <w:rPr>
          <w:rStyle w:val="14"/>
          <w:rFonts w:hint="eastAsia"/>
          <w:spacing w:val="-5"/>
        </w:rPr>
        <w:t>]</w:t>
      </w:r>
      <w:r>
        <w:rPr>
          <w:rFonts w:hint="eastAsia"/>
          <w:spacing w:val="-5"/>
        </w:rPr>
        <w:t>。</w:t>
      </w:r>
      <w:r>
        <w:rPr>
          <w:rFonts w:hint="eastAsia"/>
        </w:rPr>
        <w:t>设计竞赛承袭了“布扎”特点</w:t>
      </w:r>
      <w:r>
        <w:rPr>
          <w:rStyle w:val="14"/>
        </w:rPr>
        <w:t>[</w:t>
      </w:r>
      <w:r>
        <w:rPr>
          <w:rStyle w:val="14"/>
        </w:rPr>
        <w:endnoteReference w:id="73"/>
      </w:r>
      <w:r>
        <w:rPr>
          <w:rStyle w:val="14"/>
        </w:rPr>
        <w:t>]</w:t>
      </w:r>
      <w:r>
        <w:rPr>
          <w:rFonts w:hint="eastAsia"/>
        </w:rPr>
        <w:t>，由竞赛选出方案之后，须交由公议局工务处总工程师审核，总工程师如认为与章程相符，即行批准，再经总办转呈董事长决定</w:t>
      </w:r>
      <w:r>
        <w:rPr>
          <w:rStyle w:val="14"/>
          <w:rFonts w:hint="eastAsia"/>
        </w:rPr>
        <w:t>[</w:t>
      </w:r>
      <w:r>
        <w:rPr>
          <w:rStyle w:val="14"/>
          <w:rFonts w:hint="eastAsia"/>
        </w:rPr>
        <w:endnoteReference w:id="74"/>
      </w:r>
      <w:r>
        <w:rPr>
          <w:rStyle w:val="14"/>
          <w:rFonts w:hint="eastAsia"/>
        </w:rPr>
        <w:t>]</w:t>
      </w:r>
      <w:r>
        <w:rPr>
          <w:rFonts w:hint="eastAsia"/>
        </w:rPr>
        <w:t>。义品公司建筑师在政府建筑设计中脱颖而出，表明他们适应着具有“布扎”特点的职业运作模式，以参与法租界与彼时并行的多国租界互相角逐，呼应这一“微型社会”中的法国国家民族主义。</w:t>
      </w:r>
    </w:p>
    <w:p w14:paraId="7D761E7D">
      <w:pPr>
        <w:pStyle w:val="3"/>
        <w:ind w:firstLine="480"/>
      </w:pPr>
      <w:r>
        <w:rPr>
          <w:rFonts w:hint="eastAsia"/>
        </w:rPr>
        <w:t>多样且独特的生长环境孕育了具有“半外国”或“半欧洲”特色的建筑作品，这一租界背景下独有的变形之处依托于西方建筑师与东方环境及中国工人之间的适应。由于工程量剧增和设计人员的短缺，义品公司雇佣中国的员工辅助设计师，建筑工地上基本上也都是中国工人（图18）。第一批中国员工聘用了35名绘图员，北疆博物院设计图纸上有3名中国人的名字</w:t>
      </w:r>
      <w:r>
        <w:rPr>
          <w:rStyle w:val="14"/>
          <w:rFonts w:hint="eastAsia"/>
        </w:rPr>
        <w:t>[</w:t>
      </w:r>
      <w:r>
        <w:rPr>
          <w:rStyle w:val="14"/>
          <w:rFonts w:hint="eastAsia"/>
        </w:rPr>
        <w:endnoteReference w:id="75"/>
      </w:r>
      <w:r>
        <w:rPr>
          <w:rStyle w:val="14"/>
          <w:rFonts w:hint="eastAsia"/>
        </w:rPr>
        <w:t>]</w:t>
      </w:r>
      <w:r>
        <w:rPr>
          <w:rFonts w:hint="eastAsia"/>
        </w:rPr>
        <w:t>，义品公司在设计与施工方面大量雇佣中国人建设西洋建筑，培养了大批在近代有所作为的工程技术人员和建筑工人</w:t>
      </w:r>
      <w:r>
        <w:rPr>
          <w:rStyle w:val="14"/>
          <w:rFonts w:hint="eastAsia"/>
        </w:rPr>
        <w:t>[</w:t>
      </w:r>
      <w:r>
        <w:rPr>
          <w:rStyle w:val="14"/>
          <w:rFonts w:hint="eastAsia"/>
        </w:rPr>
        <w:endnoteReference w:id="76"/>
      </w:r>
      <w:r>
        <w:rPr>
          <w:rStyle w:val="14"/>
          <w:rFonts w:hint="eastAsia"/>
        </w:rPr>
        <w:t>]</w:t>
      </w:r>
      <w:r>
        <w:rPr>
          <w:rFonts w:hint="eastAsia"/>
        </w:rPr>
        <w:t>。这一机制继而催生了各国租界内专营施工的建筑公司与营造厂的开办</w:t>
      </w:r>
      <w:r>
        <w:rPr>
          <w:rStyle w:val="14"/>
          <w:rFonts w:hint="eastAsia"/>
        </w:rPr>
        <w:t>[</w:t>
      </w:r>
      <w:r>
        <w:rPr>
          <w:rStyle w:val="14"/>
          <w:rFonts w:hint="eastAsia"/>
        </w:rPr>
        <w:endnoteReference w:id="77"/>
      </w:r>
      <w:r>
        <w:rPr>
          <w:rStyle w:val="14"/>
          <w:rFonts w:hint="eastAsia"/>
        </w:rPr>
        <w:t>]</w:t>
      </w:r>
      <w:r>
        <w:rPr>
          <w:rFonts w:hint="eastAsia"/>
        </w:rPr>
        <w:t>，义品公司的设计图纸也会交由中国营造厂承包建造，例如法国领事馆大楼由三合顺营造厂承包施工、华比银行由舜记营造厂承包施工</w:t>
      </w:r>
      <w:r>
        <w:rPr>
          <w:rStyle w:val="14"/>
          <w:rFonts w:hint="eastAsia"/>
        </w:rPr>
        <w:t>[</w:t>
      </w:r>
      <w:r>
        <w:rPr>
          <w:rStyle w:val="14"/>
          <w:rFonts w:hint="eastAsia"/>
        </w:rPr>
        <w:endnoteReference w:id="78"/>
      </w:r>
      <w:r>
        <w:rPr>
          <w:rStyle w:val="14"/>
          <w:rFonts w:hint="eastAsia"/>
        </w:rPr>
        <w:t>]</w:t>
      </w:r>
      <w:r>
        <w:rPr>
          <w:rFonts w:hint="eastAsia"/>
        </w:rPr>
        <w:t>。因此，文化背景与生长环境的不同，使得即使服务于法国特征的职业体制之下，这些建筑作品依然在西方特点的框架中向外生发出具有中国本土化的痕迹。</w:t>
      </w:r>
    </w:p>
    <w:p w14:paraId="2AC4209B">
      <w:pPr>
        <w:ind w:firstLine="0" w:firstLineChars="0"/>
      </w:pPr>
      <w:r>
        <w:rPr>
          <w:rFonts w:hint="eastAsia"/>
          <w:color w:val="0000FF"/>
        </w:rPr>
        <w:drawing>
          <wp:inline distT="0" distB="0" distL="114300" distR="114300">
            <wp:extent cx="3245485" cy="2392680"/>
            <wp:effectExtent l="0" t="0" r="5715" b="7620"/>
            <wp:docPr id="22" name="图片 22" descr="3.3-施工现场的中国工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3.3-施工现场的中国工人"/>
                    <pic:cNvPicPr>
                      <a:picLocks noChangeAspect="1"/>
                    </pic:cNvPicPr>
                  </pic:nvPicPr>
                  <pic:blipFill>
                    <a:blip r:embed="rId29"/>
                    <a:stretch>
                      <a:fillRect/>
                    </a:stretch>
                  </pic:blipFill>
                  <pic:spPr>
                    <a:xfrm>
                      <a:off x="0" y="0"/>
                      <a:ext cx="3245485" cy="2392680"/>
                    </a:xfrm>
                    <a:prstGeom prst="rect">
                      <a:avLst/>
                    </a:prstGeom>
                  </pic:spPr>
                </pic:pic>
              </a:graphicData>
            </a:graphic>
          </wp:inline>
        </w:drawing>
      </w:r>
    </w:p>
    <w:p w14:paraId="36DBD4F7">
      <w:pPr>
        <w:ind w:firstLine="480"/>
        <w:rPr>
          <w:rFonts w:hint="eastAsia" w:ascii="华文细黑" w:hAnsi="华文细黑" w:eastAsia="华文细黑" w:cs="华文细黑"/>
        </w:rPr>
      </w:pPr>
      <w:r>
        <w:rPr>
          <w:rFonts w:hint="eastAsia" w:ascii="华文细黑" w:hAnsi="华文细黑" w:eastAsia="华文细黑" w:cs="华文细黑"/>
          <w:b/>
          <w:bCs/>
        </w:rPr>
        <w:t>图17：义品公司工地上的中国工人</w:t>
      </w:r>
    </w:p>
    <w:p w14:paraId="20704A4A">
      <w:pPr>
        <w:ind w:left="480" w:leftChars="200" w:firstLine="0" w:firstLineChars="0"/>
      </w:pPr>
      <w:r>
        <w:rPr>
          <w:rFonts w:hint="eastAsia"/>
        </w:rPr>
        <w:t>四、讨论：殊途</w:t>
      </w:r>
    </w:p>
    <w:p w14:paraId="1F6C806D">
      <w:pPr>
        <w:ind w:firstLine="480"/>
      </w:pPr>
      <w:r>
        <w:rPr>
          <w:rFonts w:hint="eastAsia"/>
        </w:rPr>
        <w:t>综上所述，本文以天津法租界及义品公司的建筑师为切入点，从教育体系、建筑风格和职业体制三层含义上探讨20世纪初“布扎”进入中国的另一种途径。</w:t>
      </w:r>
    </w:p>
    <w:p w14:paraId="77721E86">
      <w:pPr>
        <w:ind w:firstLine="480"/>
      </w:pPr>
      <w:r>
        <w:rPr>
          <w:rFonts w:hint="eastAsia"/>
        </w:rPr>
        <w:t>首先，作为教育体系而言，两条路径的建筑师分别扮演着“布扎”“传播者”与“实践者”的角色。第一代留美归国的本土建筑师面对当时中国社会和教育的现实环境，抱负着创立中国建筑学科的意志与责任。从东北大学、沪江大学、之江大学等高校的建筑科筹备，到设计竞赛与图纸渲染等方法传承与教学尝试，梁思成、林徽因、陈植等通过在美国的大学教育体系下的建筑教学与训练，作为美国“布扎”的传播主体，在中国逐步尝试现代建筑学学科的建立；而与巴黎美院密切相关的欧洲学院派建筑师以入职赴外企业的方式来到远东，在中国的作品是他们所受的“布扎”教育所迎来的实践与检验。</w:t>
      </w:r>
    </w:p>
    <w:p w14:paraId="48142B46">
      <w:pPr>
        <w:ind w:firstLine="480"/>
      </w:pPr>
      <w:r>
        <w:rPr>
          <w:rFonts w:hint="eastAsia"/>
        </w:rPr>
        <w:t>其次，作为建筑风格而言，两条路径在建筑作品的实践和演变中对于“语料”与“构成”的侧重亦有所不同。吕彦直、杨锡宗、杨廷宝等留美建筑师将美国“布扎”的设计核心带回中国，与中国传统元素、现代建筑等新思潮进行规训、融合或博弈，引领中国近代建筑在新结构新材料之下的民族形式的再现，南京中山陵、广州中山纪念堂等出现的大屋顶与中心轴线序列等以中国传统元素为主的“语料”的出现，代表着美国“布扎”经历了从“西古构”到“中古构”</w:t>
      </w:r>
      <w:r>
        <w:rPr>
          <w:rStyle w:val="14"/>
          <w:rFonts w:hint="eastAsia"/>
        </w:rPr>
        <w:t>[</w:t>
      </w:r>
      <w:r>
        <w:rPr>
          <w:rStyle w:val="14"/>
          <w:rFonts w:hint="eastAsia"/>
        </w:rPr>
        <w:endnoteReference w:id="79"/>
      </w:r>
      <w:r>
        <w:rPr>
          <w:rStyle w:val="14"/>
          <w:rFonts w:hint="eastAsia"/>
        </w:rPr>
        <w:t>]</w:t>
      </w:r>
      <w:r>
        <w:rPr>
          <w:rFonts w:hint="eastAsia"/>
        </w:rPr>
        <w:t>的适应，直至北京和平宾馆等现代性方案的出现，美国“布扎”完成了从“构图”到“组合”的演变。由于大屋顶等中国传统元素本身就具有着轴线控制等基本“构成”特点，它们被共同融入新的“语料”当中，因此相较之下，“构成”在美国“布扎”的实践中被中国民族形式的“语料”所掩盖；而同时期义品公司建筑师的“布扎”实践中，更偏向于延续其“构成”并结合新兴风格对“语料”逐渐简化。世界建筑走向现代的过程本就是对古典“语料”的逐渐舍弃，义品建筑师以租界建设为平台，更为快速地接纳国际建筑思潮并灵活加以尝试，同时将“构成”方法承续其中。</w:t>
      </w:r>
    </w:p>
    <w:p w14:paraId="4FD180BC">
      <w:pPr>
        <w:ind w:firstLine="480"/>
      </w:pPr>
      <w:r>
        <w:rPr>
          <w:rFonts w:hint="eastAsia"/>
        </w:rPr>
        <w:t>最后，作为职业体制而言，离开法国本土的“布扎”体系必将面临不同程度的演变与革新。作为受到资产阶级民族国家支持的实践体系，它经历了在美国大学制度中的转型，这一转型可以看作理想化的美术教育向应对社会需求的实用教育的转化，为皇家服务的精英建筑师训练向为公众服务的大众建筑师培养的转化。</w:t>
      </w:r>
      <w:r>
        <w:rPr>
          <w:rStyle w:val="14"/>
          <w:rFonts w:hint="eastAsia"/>
        </w:rPr>
        <w:t>[</w:t>
      </w:r>
      <w:r>
        <w:rPr>
          <w:rStyle w:val="14"/>
          <w:rFonts w:hint="eastAsia"/>
        </w:rPr>
        <w:endnoteReference w:id="80"/>
      </w:r>
      <w:r>
        <w:rPr>
          <w:rStyle w:val="14"/>
          <w:rFonts w:hint="eastAsia"/>
        </w:rPr>
        <w:t>]</w:t>
      </w:r>
      <w:r>
        <w:rPr>
          <w:rFonts w:hint="eastAsia"/>
        </w:rPr>
        <w:t>在实践中“布扎”成为“业主通过立面、轮廓线和室内装饰来争强好胜的个人工具”</w:t>
      </w:r>
      <w:r>
        <w:rPr>
          <w:rStyle w:val="14"/>
          <w:rFonts w:hint="eastAsia"/>
        </w:rPr>
        <w:t>[</w:t>
      </w:r>
      <w:r>
        <w:rPr>
          <w:rStyle w:val="14"/>
          <w:rFonts w:hint="eastAsia"/>
        </w:rPr>
        <w:endnoteReference w:id="81"/>
      </w:r>
      <w:r>
        <w:rPr>
          <w:rStyle w:val="14"/>
          <w:rFonts w:hint="eastAsia"/>
        </w:rPr>
        <w:t>]</w:t>
      </w:r>
      <w:r>
        <w:rPr>
          <w:rFonts w:hint="eastAsia"/>
        </w:rPr>
        <w:t>，经由中国第一代建筑师带回的美国“布扎”也适应于近代中国的社会体制而发展出表现民族国家政治和文化建设的运行模式；在人员复杂的开埠城市，法国“布扎”在材料、工艺上虽也进行本土化的调整，形式上顺应新的风格，宗旨上却仍然保留着学院派的根本。法国“布扎”体系最终能够在形式和设计过程中表现后大革命时期的法国精英主义的意识形态</w:t>
      </w:r>
      <w:r>
        <w:rPr>
          <w:rStyle w:val="14"/>
          <w:rFonts w:hint="eastAsia"/>
        </w:rPr>
        <w:t>[</w:t>
      </w:r>
      <w:r>
        <w:rPr>
          <w:rStyle w:val="14"/>
          <w:rFonts w:hint="eastAsia"/>
        </w:rPr>
        <w:endnoteReference w:id="82"/>
      </w:r>
      <w:r>
        <w:rPr>
          <w:rStyle w:val="14"/>
          <w:rFonts w:hint="eastAsia"/>
        </w:rPr>
        <w:t>]</w:t>
      </w:r>
      <w:r>
        <w:rPr>
          <w:rFonts w:hint="eastAsia"/>
        </w:rPr>
        <w:t>。</w:t>
      </w:r>
    </w:p>
    <w:p w14:paraId="293F7010">
      <w:pPr>
        <w:ind w:firstLine="480"/>
      </w:pPr>
      <w:r>
        <w:rPr>
          <w:rFonts w:hint="eastAsia"/>
        </w:rPr>
        <w:t>五、结论</w:t>
      </w:r>
    </w:p>
    <w:p w14:paraId="0EFD4E02">
      <w:pPr>
        <w:ind w:firstLine="480"/>
      </w:pPr>
      <w:r>
        <w:rPr>
          <w:rFonts w:hint="eastAsia"/>
        </w:rPr>
        <w:t>“布扎”体系已然成为门户开放和近代化的标志，租界与外国营造机构为其提供了模仿所属国意识特征的舞台，使得天津近代建筑成为近代中国学院派至装饰艺术乃至现代主义演化的缩影。可以说，中国近代以天津为例的开埠城市承担起接纳多样建筑风格与思潮的重任，为它们提供了试验场，从而促使中国近代建筑与城市在历史潮流的推动之下，或主动或被动地开启近代化进程，铺垫了即将到来的布扎教育引进、布扎教育改革乃至新艺术与现代建筑的本土化变革。比起经由美国抵达中国的间接路径，法国“布扎”拥有直接属性，租界的存在使得西方建筑师得以及时践行西方建筑思潮，并直接服务于租界所属国政府的理念，在顺承建筑设计构成的基础上，延续着法国“布扎”作为职业体制服务于法兰西社会的本质。</w:t>
      </w:r>
    </w:p>
    <w:p w14:paraId="7106AB78">
      <w:pPr>
        <w:ind w:firstLine="480"/>
      </w:pPr>
      <w:r>
        <w:rPr>
          <w:rFonts w:hint="eastAsia"/>
        </w:rPr>
        <w:t>至今，这些建筑师的诸多作品已经成为文物保护单位或历史风貌建筑，承接起中国近代建筑演变的转折作用，通过建筑师及其史料来探讨建筑体系的传播路径，对于以新视角认知当下城市历史与遗产具有重要意义，亦对近代建筑史研究提供多维度佐证与补充。而这些学院派建筑师如何在建筑教育方面影响中国的本土建筑师与工匠，这一路径与梁思成、杨廷宝等代表的美国布扎教育体系在近代中国大学中的探索与实践的不同亦成为值得进一步探讨的话题。</w:t>
      </w:r>
    </w:p>
    <w:p w14:paraId="2954A604">
      <w:pPr>
        <w:pStyle w:val="4"/>
        <w:ind w:firstLine="0" w:firstLineChars="0"/>
      </w:pPr>
    </w:p>
    <w:sectPr>
      <w:headerReference r:id="rId7" w:type="first"/>
      <w:footerReference r:id="rId10" w:type="first"/>
      <w:headerReference r:id="rId5" w:type="default"/>
      <w:footerReference r:id="rId8" w:type="default"/>
      <w:headerReference r:id="rId6" w:type="even"/>
      <w:footerReference r:id="rId9" w:type="even"/>
      <w:endnotePr>
        <w:numFmt w:val="decimal"/>
      </w:endnote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166">
    <w:p>
      <w:pPr>
        <w:ind w:firstLine="480"/>
      </w:pPr>
    </w:p>
  </w:endnote>
  <w:endnote w:type="continuationSeparator" w:id="167">
    <w:p>
      <w:pPr>
        <w:ind w:firstLine="480"/>
      </w:pPr>
    </w:p>
  </w:endnote>
  <w:endnote w:id="0">
    <w:p w14:paraId="36FE3006">
      <w:pPr>
        <w:pStyle w:val="4"/>
        <w:ind w:firstLine="360"/>
      </w:pPr>
      <w:r>
        <w:rPr>
          <w:rStyle w:val="14"/>
        </w:rPr>
        <w:t>[</w:t>
      </w:r>
      <w:r>
        <w:rPr>
          <w:rStyle w:val="14"/>
        </w:rPr>
        <w:endnoteRef/>
      </w:r>
      <w:r>
        <w:rPr>
          <w:rStyle w:val="14"/>
        </w:rPr>
        <w:t>]</w:t>
      </w:r>
      <w:r>
        <w:t xml:space="preserve"> </w:t>
      </w:r>
      <w:r>
        <w:rPr>
          <w:rFonts w:hint="eastAsia"/>
        </w:rPr>
        <w:t>赖德霖，伍江，徐苏斌.中国近代建筑史（第一卷）[M].北京：中国建筑工业出版社.2016.前言.</w:t>
      </w:r>
    </w:p>
  </w:endnote>
  <w:endnote w:id="1">
    <w:p w14:paraId="428CD82E">
      <w:pPr>
        <w:pStyle w:val="4"/>
        <w:ind w:firstLine="360"/>
      </w:pPr>
      <w:r>
        <w:rPr>
          <w:rStyle w:val="14"/>
        </w:rPr>
        <w:t>[</w:t>
      </w:r>
      <w:r>
        <w:rPr>
          <w:rStyle w:val="14"/>
        </w:rPr>
        <w:endnoteRef/>
      </w:r>
      <w:r>
        <w:rPr>
          <w:rStyle w:val="14"/>
        </w:rPr>
        <w:t>]</w:t>
      </w:r>
      <w:r>
        <w:rPr>
          <w:rFonts w:hint="eastAsia"/>
        </w:rPr>
        <w:t xml:space="preserve"> 中国租界的正确数量，是曾有25个专管租界和2个公共租界。这些租界分布在10个通商口岸。 参见费成康.中国租界通史[M].上海：上海社会科学院出版社.2024：500.</w:t>
      </w:r>
    </w:p>
  </w:endnote>
  <w:endnote w:id="2">
    <w:p w14:paraId="007FA916">
      <w:pPr>
        <w:pStyle w:val="4"/>
        <w:ind w:firstLine="360"/>
      </w:pPr>
      <w:r>
        <w:rPr>
          <w:rStyle w:val="14"/>
        </w:rPr>
        <w:t>[</w:t>
      </w:r>
      <w:r>
        <w:rPr>
          <w:rStyle w:val="14"/>
        </w:rPr>
        <w:endnoteRef/>
      </w:r>
      <w:r>
        <w:rPr>
          <w:rStyle w:val="14"/>
        </w:rPr>
        <w:t>]</w:t>
      </w:r>
      <w:r>
        <w:t xml:space="preserve"> </w:t>
      </w:r>
      <w:r>
        <w:rPr>
          <w:rFonts w:hint="eastAsia"/>
        </w:rPr>
        <w:t>“Ecole des Beaux Arts”，法语专有名词，译为“美术学校”或“美术学院”，该词与十九世纪末和二十世纪第一季度在法国和其他国家蓬勃发展的建筑和城市规划中的美学艺术风格有关。参见</w:t>
      </w:r>
      <w:r>
        <w:t>Caves, Roger W. </w:t>
      </w:r>
      <w:r>
        <w:rPr>
          <w:i/>
          <w:iCs/>
        </w:rPr>
        <w:t>Encyclopedia of the City</w:t>
      </w:r>
      <w:r>
        <w:t>. Routledge, 2004</w:t>
      </w:r>
      <w:r>
        <w:rPr>
          <w:rFonts w:hint="eastAsia"/>
        </w:rPr>
        <w:t>:</w:t>
      </w:r>
      <w:r>
        <w:t> 202.</w:t>
      </w:r>
      <w:r>
        <w:rPr>
          <w:rFonts w:hint="eastAsia"/>
        </w:rPr>
        <w:t>“布扎”即取其“美术”部分含义的音译，又称“布扎体系”或“美院体系”、“学院派”。</w:t>
      </w:r>
    </w:p>
  </w:endnote>
  <w:endnote w:id="3">
    <w:p w14:paraId="2BB46E5E">
      <w:pPr>
        <w:pStyle w:val="4"/>
        <w:ind w:firstLine="360"/>
      </w:pPr>
      <w:r>
        <w:rPr>
          <w:rStyle w:val="14"/>
        </w:rPr>
        <w:t>[</w:t>
      </w:r>
      <w:r>
        <w:rPr>
          <w:rStyle w:val="14"/>
        </w:rPr>
        <w:endnoteRef/>
      </w:r>
      <w:r>
        <w:rPr>
          <w:rStyle w:val="14"/>
        </w:rPr>
        <w:t>]</w:t>
      </w:r>
      <w:r>
        <w:t xml:space="preserve"> </w:t>
      </w:r>
      <w:r>
        <w:rPr>
          <w:rFonts w:hint="eastAsia"/>
        </w:rPr>
        <w:t>高声诵读古罗马维持鲁威（Vitruvius） 和意大利文艺复兴大师帕拉第奥（Palladio）、维尼奥拉（Vignola）、阿尔贝蒂 （Alberti）等的论著，是每次聚会研讨开始时的“必修课”。参见Kruft H W .A History of Architectural Theory - From Vitruvius to the Present[J].Zwemmer New York, 1994：12.</w:t>
      </w:r>
    </w:p>
  </w:endnote>
  <w:endnote w:id="4">
    <w:p w14:paraId="2EC0E669">
      <w:pPr>
        <w:pStyle w:val="4"/>
        <w:ind w:firstLine="360"/>
      </w:pPr>
      <w:r>
        <w:rPr>
          <w:rStyle w:val="14"/>
        </w:rPr>
        <w:t>[</w:t>
      </w:r>
      <w:r>
        <w:rPr>
          <w:rStyle w:val="14"/>
        </w:rPr>
        <w:endnoteRef/>
      </w:r>
      <w:r>
        <w:rPr>
          <w:rStyle w:val="14"/>
        </w:rPr>
        <w:t>]</w:t>
      </w:r>
      <w:r>
        <w:t xml:space="preserve"> </w:t>
      </w:r>
      <w:r>
        <w:rPr>
          <w:rFonts w:hint="eastAsia"/>
        </w:rPr>
        <w:t>逢美国对华“庚子赔款”留学生赴美学习的方式，将布扎的设计方式和教育特点带回了中国，以梁、杨代表的留美归来的第一代中国建筑师完成了诸多举足轻重的建筑作品，并在中国建筑教育掀起改革与创新的高潮，使得布扎与折衷主义以此路径塑造了中国近代建筑。</w:t>
      </w:r>
    </w:p>
  </w:endnote>
  <w:endnote w:id="5">
    <w:p w14:paraId="4148BADD">
      <w:pPr>
        <w:pStyle w:val="4"/>
        <w:ind w:firstLine="360"/>
      </w:pPr>
      <w:r>
        <w:rPr>
          <w:rStyle w:val="14"/>
        </w:rPr>
        <w:t>[</w:t>
      </w:r>
      <w:r>
        <w:rPr>
          <w:rStyle w:val="14"/>
        </w:rPr>
        <w:endnoteRef/>
      </w:r>
      <w:r>
        <w:rPr>
          <w:rStyle w:val="14"/>
        </w:rPr>
        <w:t>]</w:t>
      </w:r>
      <w:r>
        <w:t xml:space="preserve"> </w:t>
      </w:r>
      <w:r>
        <w:rPr>
          <w:rFonts w:hint="eastAsia"/>
        </w:rPr>
        <w:t xml:space="preserve">其中，已有20世纪初以康奈尔大学为主的其他建筑教育实践及其留美建筑师的研究，例如吕彦直、杨锡宗等，代表研究包括：薛颖.美国布扎教育对中国第一代建筑师的影响——以康奈尔大学吕彦直、杨锡宗为例[J].南方建筑,2020,(01):20-27, 赖德霖.业师和雇主眼中的吕彦直——一份1928年的珍贵史料[J].建筑师,2024,(03):133-136；之后的宾夕法尼亚大学是“布扎”作为教育体系对中国的影响的重要传播节点，也是中国近代教育诞生的重要媒介，代表研究包括：钱锋,王森民.20世纪20年代美国宾夕法尼亚大学建筑设计教育及其在中国的移植与转化以之江大学建筑系为例[J].时代建筑,2019,(02):160-165, 汪妍泽,单踊.20世纪70年代美国布扎研究复兴浅析[J].建筑师,2017,(01):45-50, 顾大庆.“布扎”,归根到底是一所美术学校[J].时代建筑,2018,(06):18-23, 菲利普·杰奎琳.20世纪初巴黎美院在中国的影响与认同[J].美术,2023,(02):76-86, 徐亮,顾大庆.布扎的“分解构图”及其在中国建筑教育中的移植和衰变[J].建筑师,2019,(02):89-98, 汪妍泽,单踊.布扎“构图”中国化历程研究[J].新建筑,2017,(02):110-113, 赵辰.失之东隅,收之桑榆——浅议1920年代宾大对中国建筑学术之影响[J].建筑学报,2018,(08):79-84, 顾大庆.向“布扎”学习——传统建筑设计教学法的现代诠释[J].建筑学报,2018,(08):98-103, 汪妍泽.学院式建筑教育的传承与变革[D].东南大学,2019；美国布扎与即将到来的现代建筑之碰撞、与中国传统之权衡的讨论与研究同样颇丰，代表研究包括：黄元炤.中国近代建筑纲要[M].北京：中国建筑工业出版社.2015.9, 童明.布扎与现代建筑关于两种传统的断离与延续[J].时代建筑,2018,(06):6-17, 莫万莉,张博远.成为现代阅读“中国建造：现代建筑百年对话”展中的22个作品[J].时代建筑,2023,(01):45-55, 李华.现代性与“中国建筑特点”的构筑——宾大中国第一代建筑学人的一个思想脉络(1920-1950年代)[J].建筑学报,2018,(08):85-90, 林中杰,丁力扬.折叠的历史宾夕法尼亚大学与百年中国建筑[J].时代建筑,2023,(01):30-39, 童明.范式转型中的中国近代建筑——关于宾大建筑教育与美式布扎的反思[J].建筑学报,2018,(08):68-78, 汪晓茜.规训与调适——有关毕业于宾夕法尼亚大学的中国第一代建筑师实践的思考[J].建筑学报,2018,(08):91-97, 汪妍泽,单踊.还原布扎一种现代建筑思想的批判呈现[J].时代建筑,2018,(06):24-30, 丁沃沃.回归建筑本源:反思中国的建筑教育[J].建筑师,2009,(04):85-92+4, 汪晓茜,刘馨悦.继承和转译：小议近代中国建筑中的帕拉第奥式遗产[J].建筑史学刊,2021,2(04):100-107. </w:t>
      </w:r>
    </w:p>
  </w:endnote>
  <w:endnote w:id="6">
    <w:p w14:paraId="7169E104">
      <w:pPr>
        <w:pStyle w:val="4"/>
        <w:ind w:firstLine="360"/>
      </w:pPr>
      <w:r>
        <w:rPr>
          <w:rStyle w:val="14"/>
        </w:rPr>
        <w:t>[</w:t>
      </w:r>
      <w:r>
        <w:rPr>
          <w:rStyle w:val="14"/>
        </w:rPr>
        <w:endnoteRef/>
      </w:r>
      <w:r>
        <w:rPr>
          <w:rStyle w:val="14"/>
        </w:rPr>
        <w:t>]</w:t>
      </w:r>
      <w:r>
        <w:t xml:space="preserve"> </w:t>
      </w:r>
      <w:r>
        <w:rPr>
          <w:rFonts w:hint="eastAsia"/>
        </w:rPr>
        <w:t>原为法国与比利时合资公司，原名为法比兴业银行（(Société Franco-Belge de Tientsin)），1910年更名为义品放款银行（Crédit Foncier d</w:t>
      </w:r>
      <w:r>
        <w:t>’</w:t>
      </w:r>
      <w:r>
        <w:rPr>
          <w:rFonts w:hint="eastAsia"/>
        </w:rPr>
        <w:t>Extrême-Orient），简称义品公司。</w:t>
      </w:r>
    </w:p>
  </w:endnote>
  <w:endnote w:id="7">
    <w:p w14:paraId="2DC093F9">
      <w:pPr>
        <w:pStyle w:val="4"/>
        <w:ind w:firstLine="360"/>
      </w:pPr>
      <w:r>
        <w:rPr>
          <w:rStyle w:val="14"/>
        </w:rPr>
        <w:t>[</w:t>
      </w:r>
      <w:r>
        <w:rPr>
          <w:rStyle w:val="14"/>
        </w:rPr>
        <w:endnoteRef/>
      </w:r>
      <w:r>
        <w:rPr>
          <w:rStyle w:val="14"/>
        </w:rPr>
        <w:t>]</w:t>
      </w:r>
      <w:r>
        <w:t xml:space="preserve"> </w:t>
      </w:r>
      <w:r>
        <w:rPr>
          <w:rFonts w:hint="eastAsia"/>
        </w:rPr>
        <w:t>义品公司在天津（1907）、上海（1909）、汉口（1911）、香港（1911）、北京（1915）、济南（1918）均设分支机构或办事处。</w:t>
      </w:r>
    </w:p>
  </w:endnote>
  <w:endnote w:id="8">
    <w:p w14:paraId="65AF1FCC">
      <w:pPr>
        <w:pStyle w:val="4"/>
        <w:ind w:firstLine="360"/>
      </w:pPr>
      <w:r>
        <w:rPr>
          <w:rStyle w:val="14"/>
        </w:rPr>
        <w:t>[</w:t>
      </w:r>
      <w:r>
        <w:rPr>
          <w:rStyle w:val="14"/>
        </w:rPr>
        <w:endnoteRef/>
      </w:r>
      <w:r>
        <w:rPr>
          <w:rStyle w:val="14"/>
        </w:rPr>
        <w:t>]</w:t>
      </w:r>
      <w:r>
        <w:t xml:space="preserve"> </w:t>
      </w:r>
      <w:r>
        <w:rPr>
          <w:rFonts w:hint="eastAsia"/>
        </w:rPr>
        <w:t>相关研究包括：魏筱丽,罗薇.权威之下何以创新——职业视角下的巴黎美术学院（一）：从职业触发[J].建筑师,2024,(04):127-130, 刘馨悦.中国近代留法建筑师群体研究[D].东南大学,2022, 徐苏斌,李天.巴黎美术学院派在天津法租界的影响——以法国建筑师门德尔松为例[J].建筑史,2015,(01):190-198, 刘清越.天津近代建筑师的职业化进程研究[D].天津大学,2019.</w:t>
      </w:r>
    </w:p>
  </w:endnote>
  <w:endnote w:id="9">
    <w:p w14:paraId="26B56614">
      <w:pPr>
        <w:pStyle w:val="4"/>
        <w:ind w:firstLine="360"/>
      </w:pPr>
      <w:r>
        <w:rPr>
          <w:rStyle w:val="14"/>
        </w:rPr>
        <w:t>[</w:t>
      </w:r>
      <w:r>
        <w:rPr>
          <w:rStyle w:val="14"/>
        </w:rPr>
        <w:endnoteRef/>
      </w:r>
      <w:r>
        <w:rPr>
          <w:rStyle w:val="14"/>
        </w:rPr>
        <w:t>]</w:t>
      </w:r>
      <w:r>
        <w:t xml:space="preserve"> </w:t>
      </w:r>
      <w:r>
        <w:rPr>
          <w:rFonts w:hint="eastAsia"/>
        </w:rPr>
        <w:t>相关研究包括：杜小辉.天津义品公司研究[D].天津大学,2014，</w:t>
      </w:r>
      <w:r>
        <w:t>Thomas COOMANS &amp; Prudence LAU Leung-kwok 劉亮國, “Les tribulations d’un architecte belge en Chine : Gustave Volckaert, au service du Crédit Foncier d’Extrême-Orient, 1914-1954”, Revue Belge d’Archéologie et d’Histoire de l’Art / Belgisch Tijdschrift voor Oudheidkunde en Kunstgeschiedenis, 81, 2012, p. 129-153,LAU, Leung Kwok Prudence .Adaptive Modern and Speculative Urbanism_The Architecture of the Crédit Foncier d'Extrême-Orient (C.F.E.O.) in Hong Kong and China's Treaty Ports[D]. The Chinese University of Hong Kong.2013</w:t>
      </w:r>
      <w:r>
        <w:rPr>
          <w:rFonts w:hint="eastAsia"/>
        </w:rPr>
        <w:t xml:space="preserve">， </w:t>
      </w:r>
      <w:r>
        <w:t xml:space="preserve">Prudence LAU Leung-kwok </w:t>
      </w:r>
      <w:r>
        <w:rPr>
          <w:lang w:val="fr-CA"/>
        </w:rPr>
        <w:t>劉亮國</w:t>
      </w:r>
      <w:r>
        <w:t xml:space="preserve"> &amp; Thomas COOMANS, “Modern Architectural Influences of Western Construction Companies in China. The Crédit Foncier d’Extrême-Orient, 1907-1959”, in: Austin WILLIAMS &amp; Theodoros DOUNAS (eds.), Masterplanning the Future - Modernism: East, West &amp; Across the World. The Proceedings of an International Conference held at Xi’an Jiaotong,Liverpool University on 18-19th October 2012, Suzhou, Transport Research Publications, 2012, p. 69-77 [ISBN 978-1-903094-01-3]</w:t>
      </w:r>
      <w:r>
        <w:rPr>
          <w:rFonts w:hint="eastAsia"/>
        </w:rPr>
        <w:t>，</w:t>
      </w:r>
      <w:r>
        <w:t xml:space="preserve">Coomans, T. (2014). </w:t>
      </w:r>
      <w:r>
        <w:rPr>
          <w:lang w:val="fr-CA"/>
        </w:rPr>
        <w:t xml:space="preserve">Papiers de Chine : les archives d’architecture du Crédit Foncier d’Extrême-Orient (1907-1959). </w:t>
      </w:r>
      <w:r>
        <w:t>In ABE Journal - European Architecture Beyond Europe (Vol. 5). CNRS National Center for Scientific Research.</w:t>
      </w:r>
    </w:p>
  </w:endnote>
  <w:endnote w:id="10">
    <w:p w14:paraId="44587CE8">
      <w:pPr>
        <w:pStyle w:val="4"/>
        <w:ind w:firstLine="360"/>
      </w:pPr>
      <w:r>
        <w:rPr>
          <w:rStyle w:val="14"/>
        </w:rPr>
        <w:t>[</w:t>
      </w:r>
      <w:r>
        <w:rPr>
          <w:rStyle w:val="14"/>
        </w:rPr>
        <w:endnoteRef/>
      </w:r>
      <w:r>
        <w:rPr>
          <w:rStyle w:val="14"/>
        </w:rPr>
        <w:t>]</w:t>
      </w:r>
      <w:r>
        <w:t xml:space="preserve"> </w:t>
      </w:r>
      <w:r>
        <w:rPr>
          <w:rFonts w:hint="eastAsia"/>
        </w:rPr>
        <w:t>当前已有研究中涉及到的义品公司在津建筑师有：华立慧Gustave Volckaert；尹威力Gabriel Van Wylick；门德尔松Leo Mendelssohn；查理Henri Charrey；康沃西Marcel Conversy</w:t>
      </w:r>
    </w:p>
  </w:endnote>
  <w:endnote w:id="11">
    <w:p w14:paraId="2FD7B62C">
      <w:pPr>
        <w:pStyle w:val="4"/>
        <w:ind w:firstLine="360"/>
      </w:pPr>
      <w:r>
        <w:rPr>
          <w:rStyle w:val="14"/>
        </w:rPr>
        <w:t>[</w:t>
      </w:r>
      <w:r>
        <w:rPr>
          <w:rStyle w:val="14"/>
        </w:rPr>
        <w:endnoteRef/>
      </w:r>
      <w:r>
        <w:rPr>
          <w:rStyle w:val="14"/>
        </w:rPr>
        <w:t>]</w:t>
      </w:r>
      <w:r>
        <w:t xml:space="preserve"> </w:t>
      </w:r>
      <w:r>
        <w:rPr>
          <w:rFonts w:hint="eastAsia"/>
        </w:rPr>
        <w:t>汪晓茜.规训与调适——有关毕业于宾夕法尼亚大学的中国第一代建筑师实践的思考[J].建筑学报,2018,(08):91-97.</w:t>
      </w:r>
    </w:p>
  </w:endnote>
  <w:endnote w:id="12">
    <w:p w14:paraId="59381065">
      <w:pPr>
        <w:pStyle w:val="4"/>
        <w:ind w:firstLine="360"/>
      </w:pPr>
      <w:r>
        <w:rPr>
          <w:rStyle w:val="14"/>
        </w:rPr>
        <w:t>[</w:t>
      </w:r>
      <w:r>
        <w:rPr>
          <w:rStyle w:val="14"/>
        </w:rPr>
        <w:endnoteRef/>
      </w:r>
      <w:r>
        <w:rPr>
          <w:rStyle w:val="14"/>
        </w:rPr>
        <w:t>]</w:t>
      </w:r>
      <w:r>
        <w:t xml:space="preserve"> </w:t>
      </w:r>
      <w:r>
        <w:rPr>
          <w:rFonts w:hint="eastAsia"/>
        </w:rPr>
        <w:t>其它如上海作为20世纪初中国最活跃的商业和工业中心之一，义品公司承担以住宅为主的建筑项目以及住宅区开发等土地投资项目；义品公司于近代香港同样在住宅、商业及宗教建筑上有所贡献。然而，上海的外国企业和建筑师聚集更为丰富、香港并非由法国当局主导建设，都使得义品公司以商业属性自居，致力于适应新兴城市面貌以推动东方的现代主义建筑。</w:t>
      </w:r>
    </w:p>
  </w:endnote>
  <w:endnote w:id="13">
    <w:p w14:paraId="21A6964D">
      <w:pPr>
        <w:pStyle w:val="4"/>
        <w:ind w:firstLine="360"/>
      </w:pPr>
      <w:r>
        <w:rPr>
          <w:rStyle w:val="14"/>
        </w:rPr>
        <w:t>[</w:t>
      </w:r>
      <w:r>
        <w:rPr>
          <w:rStyle w:val="14"/>
        </w:rPr>
        <w:endnoteRef/>
      </w:r>
      <w:r>
        <w:rPr>
          <w:rStyle w:val="14"/>
        </w:rPr>
        <w:t>]</w:t>
      </w:r>
      <w:r>
        <w:t xml:space="preserve"> </w:t>
      </w:r>
      <w:r>
        <w:rPr>
          <w:rFonts w:hint="eastAsia"/>
        </w:rPr>
        <w:t>天津以其城市定位的特殊性，相对鲜有具备上海、香港等城市现代化与国际化的影响，使其法国风格在华传播更为直接纯粹，也更易产生与本地建筑传统的融合；天津提供的租界环境使得义品公司服务于法国当局并承接公议局等官方建筑项目的设计，使得义品公司在天津的实践中得以体现“布扎”的三重属性。</w:t>
      </w:r>
    </w:p>
  </w:endnote>
  <w:endnote w:id="14">
    <w:p w14:paraId="28B6849A">
      <w:pPr>
        <w:pStyle w:val="4"/>
        <w:ind w:firstLine="360"/>
      </w:pPr>
      <w:r>
        <w:rPr>
          <w:rStyle w:val="14"/>
        </w:rPr>
        <w:t>[</w:t>
      </w:r>
      <w:r>
        <w:rPr>
          <w:rStyle w:val="14"/>
        </w:rPr>
        <w:endnoteRef/>
      </w:r>
      <w:r>
        <w:rPr>
          <w:rStyle w:val="14"/>
        </w:rPr>
        <w:t>]</w:t>
      </w:r>
      <w:r>
        <w:t xml:space="preserve"> </w:t>
      </w:r>
      <w:r>
        <w:rPr>
          <w:rFonts w:hint="eastAsia"/>
        </w:rPr>
        <w:t>李天,周晶.工兵、道路测量师与传教士——天津租界早期设计者研究[J].建筑师,2018,(02):57-62.</w:t>
      </w:r>
    </w:p>
  </w:endnote>
  <w:endnote w:id="15">
    <w:p w14:paraId="70F93836">
      <w:pPr>
        <w:pStyle w:val="4"/>
        <w:ind w:firstLine="360"/>
      </w:pPr>
      <w:r>
        <w:rPr>
          <w:rStyle w:val="14"/>
        </w:rPr>
        <w:t>[</w:t>
      </w:r>
      <w:r>
        <w:rPr>
          <w:rStyle w:val="14"/>
        </w:rPr>
        <w:endnoteRef/>
      </w:r>
      <w:r>
        <w:rPr>
          <w:rStyle w:val="14"/>
        </w:rPr>
        <w:t>]</w:t>
      </w:r>
      <w:r>
        <w:t xml:space="preserve"> </w:t>
      </w:r>
      <w:r>
        <w:rPr>
          <w:rFonts w:hint="eastAsia"/>
        </w:rPr>
        <w:t>雷孝思(</w:t>
      </w:r>
      <w:r>
        <w:t>Jean Baptiste Regis</w:t>
      </w:r>
      <w:r>
        <w:rPr>
          <w:rFonts w:hint="eastAsia"/>
        </w:rPr>
        <w:t>)、白晋(</w:t>
      </w:r>
      <w:r>
        <w:t>Joachim Bouvet</w:t>
      </w:r>
      <w:r>
        <w:rPr>
          <w:rFonts w:hint="eastAsia"/>
        </w:rPr>
        <w:t>)、费隐(</w:t>
      </w:r>
      <w:r>
        <w:t>Xavier-Ehrenbert Fridelli</w:t>
      </w:r>
      <w:r>
        <w:rPr>
          <w:rFonts w:hint="eastAsia"/>
        </w:rPr>
        <w:t>)、杜德美(</w:t>
      </w:r>
      <w:r>
        <w:t>Pierre Jartoux</w:t>
      </w:r>
      <w:r>
        <w:rPr>
          <w:rFonts w:hint="eastAsia"/>
        </w:rPr>
        <w:t>)、冯秉正(</w:t>
      </w:r>
      <w:r>
        <w:t>Moyriac de M</w:t>
      </w:r>
      <w:r>
        <w:rPr>
          <w:rFonts w:hint="eastAsia"/>
        </w:rPr>
        <w:t>ailla)、德玛诺(</w:t>
      </w:r>
      <w:r>
        <w:t>Romanus Hinderer</w:t>
      </w:r>
      <w:r>
        <w:rPr>
          <w:rFonts w:hint="eastAsia"/>
        </w:rPr>
        <w:t>)、汤尚贤(</w:t>
      </w:r>
      <w:r>
        <w:t>Pierre Vincent de Tartre</w:t>
      </w:r>
      <w:r>
        <w:rPr>
          <w:rFonts w:hint="eastAsia"/>
        </w:rPr>
        <w:t>)、麦大成(</w:t>
      </w:r>
      <w:r>
        <w:t>Jean Francisco Cavdos</w:t>
      </w:r>
      <w:r>
        <w:rPr>
          <w:rFonts w:hint="eastAsia"/>
        </w:rPr>
        <w:t>)</w:t>
      </w:r>
    </w:p>
  </w:endnote>
  <w:endnote w:id="16">
    <w:p w14:paraId="6EE0A412">
      <w:pPr>
        <w:pStyle w:val="4"/>
        <w:ind w:firstLine="360"/>
      </w:pPr>
      <w:r>
        <w:rPr>
          <w:rStyle w:val="14"/>
        </w:rPr>
        <w:t>[</w:t>
      </w:r>
      <w:r>
        <w:rPr>
          <w:rStyle w:val="14"/>
        </w:rPr>
        <w:endnoteRef/>
      </w:r>
      <w:r>
        <w:rPr>
          <w:rStyle w:val="14"/>
        </w:rPr>
        <w:t>]</w:t>
      </w:r>
      <w:r>
        <w:rPr>
          <w:rFonts w:hint="eastAsia"/>
        </w:rPr>
        <w:t xml:space="preserve"> 童超.康乾盛世[M].云南：云南教育出版社.2010: 184-185.</w:t>
      </w:r>
    </w:p>
  </w:endnote>
  <w:endnote w:id="17">
    <w:p w14:paraId="6022FA09">
      <w:pPr>
        <w:pStyle w:val="4"/>
        <w:ind w:firstLine="360"/>
      </w:pPr>
      <w:r>
        <w:rPr>
          <w:rStyle w:val="14"/>
        </w:rPr>
        <w:t>[</w:t>
      </w:r>
      <w:r>
        <w:rPr>
          <w:rStyle w:val="14"/>
        </w:rPr>
        <w:endnoteRef/>
      </w:r>
      <w:r>
        <w:rPr>
          <w:rStyle w:val="14"/>
        </w:rPr>
        <w:t>]</w:t>
      </w:r>
      <w:r>
        <w:t xml:space="preserve"> </w:t>
      </w:r>
      <w:r>
        <w:rPr>
          <w:rFonts w:hint="eastAsia"/>
        </w:rPr>
        <w:t>当时租界内的建设尚未完成，而天津较为繁华的地区是老城东部和东北部，因而在此建设望海楼教堂</w:t>
      </w:r>
    </w:p>
  </w:endnote>
  <w:endnote w:id="18">
    <w:p w14:paraId="49A06D0C">
      <w:pPr>
        <w:pStyle w:val="4"/>
        <w:ind w:firstLine="360"/>
      </w:pPr>
      <w:r>
        <w:rPr>
          <w:rStyle w:val="14"/>
        </w:rPr>
        <w:t>[</w:t>
      </w:r>
      <w:r>
        <w:rPr>
          <w:rStyle w:val="14"/>
        </w:rPr>
        <w:endnoteRef/>
      </w:r>
      <w:r>
        <w:rPr>
          <w:rStyle w:val="14"/>
        </w:rPr>
        <w:t>]</w:t>
      </w:r>
      <w:r>
        <w:t xml:space="preserve"> </w:t>
      </w:r>
      <w:r>
        <w:rPr>
          <w:rFonts w:hint="eastAsia"/>
        </w:rPr>
        <w:t>1870年，天津民众为反对法国作为保教国武力庇护下的天主教会肆行宣教活动，攻击天主教会机构造成数十人被杀。</w:t>
      </w:r>
    </w:p>
  </w:endnote>
  <w:endnote w:id="19">
    <w:p w14:paraId="577C0233">
      <w:pPr>
        <w:pStyle w:val="4"/>
        <w:ind w:firstLine="360"/>
      </w:pPr>
      <w:r>
        <w:rPr>
          <w:rStyle w:val="14"/>
        </w:rPr>
        <w:t>[</w:t>
      </w:r>
      <w:r>
        <w:rPr>
          <w:rStyle w:val="14"/>
        </w:rPr>
        <w:endnoteRef/>
      </w:r>
      <w:r>
        <w:rPr>
          <w:rStyle w:val="14"/>
        </w:rPr>
        <w:t>]</w:t>
      </w:r>
      <w:r>
        <w:t xml:space="preserve"> </w:t>
      </w:r>
      <w:r>
        <w:rPr>
          <w:rFonts w:hint="eastAsia"/>
        </w:rPr>
        <w:t>即在租界工部局负责公共道路的官员，在英租界被称为Surveyor，在法租界被称为Agent-Voyer，法租界有明确姓名即在的道路测量师是郎维迪（L.Reverdy），他一直担任法租界工部局工程处负责人至1916年。参见李天,周晶.工兵、道路测量师与传教士——天津租界早期设计者研究[J].建筑师,2018,(02):57-62.</w:t>
      </w:r>
    </w:p>
  </w:endnote>
  <w:endnote w:id="20">
    <w:p w14:paraId="2F85D7FE">
      <w:pPr>
        <w:pStyle w:val="4"/>
        <w:ind w:firstLine="360"/>
      </w:pPr>
      <w:r>
        <w:rPr>
          <w:rStyle w:val="14"/>
        </w:rPr>
        <w:t>[</w:t>
      </w:r>
      <w:r>
        <w:rPr>
          <w:rStyle w:val="14"/>
        </w:rPr>
        <w:endnoteRef/>
      </w:r>
      <w:r>
        <w:rPr>
          <w:rStyle w:val="14"/>
        </w:rPr>
        <w:t>]</w:t>
      </w:r>
      <w:r>
        <w:t xml:space="preserve"> </w:t>
      </w:r>
      <w:r>
        <w:rPr>
          <w:rFonts w:hint="eastAsia"/>
        </w:rPr>
        <w:t>李天,周晶.工兵、道路测量师与传教士——天津租界早期设计者研究[J].建筑师,2018,(02):57-62.</w:t>
      </w:r>
    </w:p>
  </w:endnote>
  <w:endnote w:id="21">
    <w:p w14:paraId="3AC94F46">
      <w:pPr>
        <w:pStyle w:val="4"/>
        <w:ind w:firstLine="360"/>
      </w:pPr>
      <w:r>
        <w:rPr>
          <w:rStyle w:val="14"/>
        </w:rPr>
        <w:t>[</w:t>
      </w:r>
      <w:r>
        <w:rPr>
          <w:rStyle w:val="14"/>
        </w:rPr>
        <w:endnoteRef/>
      </w:r>
      <w:r>
        <w:rPr>
          <w:rStyle w:val="14"/>
        </w:rPr>
        <w:t>]</w:t>
      </w:r>
      <w:r>
        <w:t xml:space="preserve"> </w:t>
      </w:r>
      <w:r>
        <w:rPr>
          <w:rFonts w:hint="eastAsia"/>
        </w:rPr>
        <w:t>初代领事馆位于望海楼教堂以东，1900年在义和团运动中被烧毁，后清政府将现址赔偿给法租界当局作领事馆</w:t>
      </w:r>
    </w:p>
  </w:endnote>
  <w:endnote w:id="22">
    <w:p w14:paraId="53CCE2E9">
      <w:pPr>
        <w:pStyle w:val="4"/>
        <w:ind w:firstLine="360"/>
      </w:pPr>
      <w:r>
        <w:rPr>
          <w:rStyle w:val="14"/>
        </w:rPr>
        <w:t>[</w:t>
      </w:r>
      <w:r>
        <w:rPr>
          <w:rStyle w:val="14"/>
        </w:rPr>
        <w:endnoteRef/>
      </w:r>
      <w:r>
        <w:rPr>
          <w:rStyle w:val="14"/>
        </w:rPr>
        <w:t>]</w:t>
      </w:r>
      <w:r>
        <w:t xml:space="preserve"> </w:t>
      </w:r>
      <w:r>
        <w:rPr>
          <w:rFonts w:hint="eastAsia"/>
        </w:rPr>
        <w:t>例如德国面包师赫尔.弗兰岑巴赫（Herr Franzenbach）等，参见</w:t>
      </w:r>
      <w:r>
        <w:t>赖德霖，伍江，徐苏斌，中国近代建筑史</w:t>
      </w:r>
      <w:r>
        <w:rPr>
          <w:rFonts w:hint="eastAsia"/>
        </w:rPr>
        <w:t>（第一卷）</w:t>
      </w:r>
      <w:r>
        <w:t xml:space="preserve">[M]. </w:t>
      </w:r>
      <w:r>
        <w:rPr>
          <w:rFonts w:hint="eastAsia"/>
        </w:rPr>
        <w:t>北京：</w:t>
      </w:r>
      <w:r>
        <w:t>中国建筑工业出版社</w:t>
      </w:r>
      <w:r>
        <w:rPr>
          <w:rFonts w:hint="eastAsia"/>
        </w:rPr>
        <w:t>.</w:t>
      </w:r>
      <w:r>
        <w:t>2016</w:t>
      </w:r>
      <w:r>
        <w:rPr>
          <w:rFonts w:hint="eastAsia"/>
        </w:rPr>
        <w:t>：228</w:t>
      </w:r>
    </w:p>
  </w:endnote>
  <w:endnote w:id="23">
    <w:p w14:paraId="670B2859">
      <w:pPr>
        <w:pStyle w:val="4"/>
        <w:ind w:firstLine="360"/>
      </w:pPr>
      <w:r>
        <w:rPr>
          <w:rStyle w:val="14"/>
        </w:rPr>
        <w:t>[</w:t>
      </w:r>
      <w:r>
        <w:rPr>
          <w:rStyle w:val="14"/>
        </w:rPr>
        <w:endnoteRef/>
      </w:r>
      <w:r>
        <w:rPr>
          <w:rStyle w:val="14"/>
        </w:rPr>
        <w:t>]</w:t>
      </w:r>
      <w:r>
        <w:t xml:space="preserve"> </w:t>
      </w:r>
      <w:r>
        <w:rPr>
          <w:rFonts w:hint="eastAsia"/>
        </w:rPr>
        <w:t>指义和团运动，19世纪末中国发生大规模群众暴力运动，以针对传教士等西方在华人士及中国基督徒。1900年初，义和团运动拓展之京津地区。</w:t>
      </w:r>
    </w:p>
  </w:endnote>
  <w:endnote w:id="24">
    <w:p w14:paraId="39230F81">
      <w:pPr>
        <w:pStyle w:val="4"/>
        <w:ind w:firstLine="360"/>
      </w:pPr>
      <w:r>
        <w:rPr>
          <w:rStyle w:val="14"/>
        </w:rPr>
        <w:t>[</w:t>
      </w:r>
      <w:r>
        <w:rPr>
          <w:rStyle w:val="14"/>
        </w:rPr>
        <w:endnoteRef/>
      </w:r>
      <w:r>
        <w:rPr>
          <w:rStyle w:val="14"/>
        </w:rPr>
        <w:t>]</w:t>
      </w:r>
      <w:r>
        <w:t xml:space="preserve"> </w:t>
      </w:r>
      <w:r>
        <w:rPr>
          <w:rFonts w:hint="eastAsia"/>
        </w:rPr>
        <w:t>杜小辉.天津义品公司研究[D].天津大学,2014.</w:t>
      </w:r>
    </w:p>
  </w:endnote>
  <w:endnote w:id="25">
    <w:p w14:paraId="7BF59C66">
      <w:pPr>
        <w:pStyle w:val="4"/>
        <w:ind w:firstLine="360"/>
      </w:pPr>
      <w:r>
        <w:rPr>
          <w:rStyle w:val="14"/>
        </w:rPr>
        <w:t>[</w:t>
      </w:r>
      <w:r>
        <w:rPr>
          <w:rStyle w:val="14"/>
        </w:rPr>
        <w:endnoteRef/>
      </w:r>
      <w:r>
        <w:rPr>
          <w:rStyle w:val="14"/>
        </w:rPr>
        <w:t>]</w:t>
      </w:r>
      <w:r>
        <w:t xml:space="preserve"> </w:t>
      </w:r>
      <w:r>
        <w:rPr>
          <w:rFonts w:hint="eastAsia"/>
        </w:rPr>
        <w:t>以崇德堂和首善堂为主</w:t>
      </w:r>
    </w:p>
  </w:endnote>
  <w:endnote w:id="26">
    <w:p w14:paraId="0A71AFA5">
      <w:pPr>
        <w:pStyle w:val="4"/>
        <w:ind w:firstLine="360"/>
      </w:pPr>
      <w:r>
        <w:rPr>
          <w:rStyle w:val="14"/>
        </w:rPr>
        <w:t>[</w:t>
      </w:r>
      <w:r>
        <w:rPr>
          <w:rStyle w:val="14"/>
        </w:rPr>
        <w:endnoteRef/>
      </w:r>
      <w:r>
        <w:rPr>
          <w:rStyle w:val="14"/>
        </w:rPr>
        <w:t>]</w:t>
      </w:r>
      <w:r>
        <w:t xml:space="preserve"> </w:t>
      </w:r>
      <w:r>
        <w:rPr>
          <w:rFonts w:hint="eastAsia"/>
        </w:rPr>
        <w:t>除法租界外，按时间顺序为英、美、德、日、俄、比、意、奥匈共八国，此时美租界已并入英租界。</w:t>
      </w:r>
    </w:p>
  </w:endnote>
  <w:endnote w:id="27">
    <w:p w14:paraId="709EA599">
      <w:pPr>
        <w:pStyle w:val="4"/>
        <w:ind w:firstLine="360"/>
      </w:pPr>
      <w:r>
        <w:rPr>
          <w:rStyle w:val="14"/>
        </w:rPr>
        <w:t>[</w:t>
      </w:r>
      <w:r>
        <w:rPr>
          <w:rStyle w:val="14"/>
        </w:rPr>
        <w:endnoteRef/>
      </w:r>
      <w:r>
        <w:rPr>
          <w:rStyle w:val="14"/>
        </w:rPr>
        <w:t>]</w:t>
      </w:r>
      <w:r>
        <w:t xml:space="preserve"> </w:t>
      </w:r>
      <w:r>
        <w:rPr>
          <w:rFonts w:hint="eastAsia"/>
        </w:rPr>
        <w:t>总行设于比利时布鲁塞尔，总管理处设于法国巴黎，母公司为巴黎联合银行（Banque de l’Union Parisienne），即法国国策综合房地产公司，为义品公司的最高管理机构，具有最终决策权。</w:t>
      </w:r>
    </w:p>
  </w:endnote>
  <w:endnote w:id="28">
    <w:p w14:paraId="3A723687">
      <w:pPr>
        <w:pStyle w:val="4"/>
        <w:ind w:firstLine="360"/>
      </w:pPr>
      <w:r>
        <w:rPr>
          <w:rStyle w:val="14"/>
        </w:rPr>
        <w:t>[</w:t>
      </w:r>
      <w:r>
        <w:rPr>
          <w:rStyle w:val="14"/>
        </w:rPr>
        <w:endnoteRef/>
      </w:r>
      <w:r>
        <w:rPr>
          <w:rStyle w:val="14"/>
        </w:rPr>
        <w:t>]</w:t>
      </w:r>
      <w:r>
        <w:t xml:space="preserve"> </w:t>
      </w:r>
      <w:r>
        <w:rPr>
          <w:rFonts w:hint="eastAsia"/>
        </w:rPr>
        <w:t>继天津分公司之后，义品公司1909年在上海、1911年汉口和香港、1915年北京、1918年济南都设有分公司或办事处。</w:t>
      </w:r>
    </w:p>
  </w:endnote>
  <w:endnote w:id="29">
    <w:p w14:paraId="1D8AB383">
      <w:pPr>
        <w:pStyle w:val="4"/>
        <w:ind w:firstLine="360"/>
      </w:pPr>
      <w:r>
        <w:rPr>
          <w:rStyle w:val="14"/>
        </w:rPr>
        <w:t>[</w:t>
      </w:r>
      <w:r>
        <w:rPr>
          <w:rStyle w:val="14"/>
        </w:rPr>
        <w:endnoteRef/>
      </w:r>
      <w:r>
        <w:rPr>
          <w:rStyle w:val="14"/>
        </w:rPr>
        <w:t>]</w:t>
      </w:r>
      <w:r>
        <w:t xml:space="preserve"> </w:t>
      </w:r>
      <w:r>
        <w:rPr>
          <w:rFonts w:hint="eastAsia"/>
        </w:rPr>
        <w:t>天津电报总局、北洋电报学堂等迁入法租界，老龙头火车站也修建在法租界附近；“20世纪后，天津的进出口贸易迅速增长，进入快速发展时期。1902年天津的进出口贸易净值</w:t>
      </w:r>
      <w:r>
        <w:t>……</w:t>
      </w:r>
      <w:r>
        <w:rPr>
          <w:rFonts w:hint="eastAsia"/>
        </w:rPr>
        <w:t>超过了20世纪前的最高值</w:t>
      </w:r>
      <w:r>
        <w:t>……</w:t>
      </w:r>
      <w:r>
        <w:rPr>
          <w:rFonts w:hint="eastAsia"/>
        </w:rPr>
        <w:t>1906年突破1亿海关两，至1910年在接近1亿海关两附近震荡，1911年-1920年，以相对稳定的速率增长</w:t>
      </w:r>
      <w:r>
        <w:t>……</w:t>
      </w:r>
      <w:r>
        <w:rPr>
          <w:rFonts w:hint="eastAsia"/>
        </w:rPr>
        <w:t xml:space="preserve">”参见张利民.20世纪初期天津对外贸易变化简析——从海关史的角度[J].国家航海, 2016, 000(003):167-181. </w:t>
      </w:r>
    </w:p>
  </w:endnote>
  <w:endnote w:id="30">
    <w:p w14:paraId="22203125">
      <w:pPr>
        <w:pStyle w:val="4"/>
        <w:ind w:firstLine="360"/>
      </w:pPr>
      <w:r>
        <w:rPr>
          <w:rStyle w:val="14"/>
          <w:lang w:val="fr-CA"/>
        </w:rPr>
        <w:t>[</w:t>
      </w:r>
      <w:r>
        <w:rPr>
          <w:rStyle w:val="14"/>
        </w:rPr>
        <w:endnoteRef/>
      </w:r>
      <w:r>
        <w:rPr>
          <w:rStyle w:val="14"/>
          <w:lang w:val="fr-CA"/>
        </w:rPr>
        <w:t>]</w:t>
      </w:r>
      <w:r>
        <w:rPr>
          <w:lang w:val="fr-CA"/>
        </w:rPr>
        <w:t xml:space="preserve"> </w:t>
      </w:r>
      <w:r>
        <w:rPr>
          <w:rFonts w:hint="eastAsia"/>
          <w:lang w:val="fr-CA"/>
        </w:rPr>
        <w:t>Archives de l'État en Belgique.Inventaire des archives du Crédit foncierd'Extrême-Orient et de sa filiale, la Société Hypothécaire de Tanger (1907 - 1991). 913-1183</w:t>
      </w:r>
    </w:p>
  </w:endnote>
  <w:endnote w:id="31">
    <w:p w14:paraId="2D4D4B97">
      <w:pPr>
        <w:pStyle w:val="4"/>
        <w:ind w:firstLine="360"/>
      </w:pPr>
      <w:r>
        <w:rPr>
          <w:rStyle w:val="14"/>
        </w:rPr>
        <w:t>[</w:t>
      </w:r>
      <w:r>
        <w:rPr>
          <w:rStyle w:val="14"/>
        </w:rPr>
        <w:endnoteRef/>
      </w:r>
      <w:r>
        <w:rPr>
          <w:rStyle w:val="14"/>
        </w:rPr>
        <w:t>]</w:t>
      </w:r>
      <w:r>
        <w:t xml:space="preserve"> </w:t>
      </w:r>
      <w:r>
        <w:rPr>
          <w:rFonts w:hint="eastAsia"/>
        </w:rPr>
        <w:t>另称“京保津兵变”，19</w:t>
      </w:r>
      <w:r>
        <w:t>12</w:t>
      </w:r>
      <w:r>
        <w:rPr>
          <w:rFonts w:hint="eastAsia"/>
        </w:rPr>
        <w:t>年2月29日清宣统帝宣布退位诏书，北洋军</w:t>
      </w:r>
      <w:r>
        <w:fldChar w:fldCharType="begin"/>
      </w:r>
      <w:r>
        <w:instrText xml:space="preserve"> HYPERLINK "https://zh.wikipedia.org/wiki/%E6%9B%B9%E9%94%9F" \o "曹锟" </w:instrText>
      </w:r>
      <w:r>
        <w:fldChar w:fldCharType="separate"/>
      </w:r>
      <w:r>
        <w:t>曹锟</w:t>
      </w:r>
      <w:r>
        <w:fldChar w:fldCharType="end"/>
      </w:r>
      <w:r>
        <w:t>的</w:t>
      </w:r>
      <w:r>
        <w:fldChar w:fldCharType="begin"/>
      </w:r>
      <w:r>
        <w:instrText xml:space="preserve"> HYPERLINK "https://zh.wikipedia.org/wiki/%E9%99%86%E5%86%9B%E7%AC%AC%E4%B8%89%E9%95%87" \o "陆军第三镇" </w:instrText>
      </w:r>
      <w:r>
        <w:fldChar w:fldCharType="separate"/>
      </w:r>
      <w:r>
        <w:t>第三镇</w:t>
      </w:r>
      <w:r>
        <w:fldChar w:fldCharType="end"/>
      </w:r>
      <w:r>
        <w:t>（师）下属的军队哗变</w:t>
      </w:r>
      <w:r>
        <w:rPr>
          <w:rFonts w:hint="eastAsia"/>
        </w:rPr>
        <w:t>。</w:t>
      </w:r>
    </w:p>
  </w:endnote>
  <w:endnote w:id="32">
    <w:p w14:paraId="39F13F33">
      <w:pPr>
        <w:pStyle w:val="4"/>
        <w:ind w:firstLine="360"/>
      </w:pPr>
      <w:r>
        <w:rPr>
          <w:rStyle w:val="14"/>
          <w:lang w:val="fr-CA"/>
        </w:rPr>
        <w:t>[</w:t>
      </w:r>
      <w:r>
        <w:rPr>
          <w:rStyle w:val="14"/>
        </w:rPr>
        <w:endnoteRef/>
      </w:r>
      <w:r>
        <w:rPr>
          <w:rStyle w:val="14"/>
          <w:lang w:val="fr-CA"/>
        </w:rPr>
        <w:t>]</w:t>
      </w:r>
      <w:r>
        <w:rPr>
          <w:lang w:val="fr-CA"/>
        </w:rPr>
        <w:t xml:space="preserve"> </w:t>
      </w:r>
      <w:r>
        <w:rPr>
          <w:rFonts w:hint="eastAsia"/>
          <w:lang w:val="fr-CA"/>
        </w:rPr>
        <w:t>Archives de l'État en Belgique.Inventaire des archives du Crédit foncierd'Extrême-Orient et de sa filiale, la Société Hypothécaire de Tanger (1907 - 1991). 1183</w:t>
      </w:r>
    </w:p>
  </w:endnote>
  <w:endnote w:id="33">
    <w:p w14:paraId="75FAF40B">
      <w:pPr>
        <w:pStyle w:val="4"/>
        <w:ind w:firstLine="360"/>
      </w:pPr>
      <w:r>
        <w:rPr>
          <w:rStyle w:val="14"/>
        </w:rPr>
        <w:t>[</w:t>
      </w:r>
      <w:r>
        <w:rPr>
          <w:rStyle w:val="14"/>
        </w:rPr>
        <w:endnoteRef/>
      </w:r>
      <w:r>
        <w:rPr>
          <w:rStyle w:val="14"/>
        </w:rPr>
        <w:t>]</w:t>
      </w:r>
      <w:r>
        <w:t xml:space="preserve"> </w:t>
      </w:r>
      <w:r>
        <w:rPr>
          <w:rFonts w:hint="eastAsia"/>
        </w:rPr>
        <w:t>徐苏斌,李天.巴黎美术学院派在天津法租界的影响——以法国建筑师门德尔松为例[J].建筑史,2015,(01):190-198.</w:t>
      </w:r>
    </w:p>
  </w:endnote>
  <w:endnote w:id="34">
    <w:p w14:paraId="605D881B">
      <w:pPr>
        <w:pStyle w:val="4"/>
        <w:ind w:firstLine="360"/>
      </w:pPr>
      <w:r>
        <w:rPr>
          <w:rStyle w:val="14"/>
        </w:rPr>
        <w:t>[</w:t>
      </w:r>
      <w:r>
        <w:rPr>
          <w:rStyle w:val="14"/>
        </w:rPr>
        <w:endnoteRef/>
      </w:r>
      <w:r>
        <w:rPr>
          <w:rStyle w:val="14"/>
        </w:rPr>
        <w:t>]</w:t>
      </w:r>
      <w:r>
        <w:t xml:space="preserve"> </w:t>
      </w:r>
      <w:r>
        <w:rPr>
          <w:rFonts w:hint="eastAsia"/>
        </w:rPr>
        <w:t>上述两座建筑是义品公司在这一时期最大的两笔收益，法国公议局共收益两万法郎，法国俱乐部工程至1932年收益为7750法郎。</w:t>
      </w:r>
    </w:p>
  </w:endnote>
  <w:endnote w:id="35">
    <w:p w14:paraId="15A1268C">
      <w:pPr>
        <w:pStyle w:val="4"/>
        <w:ind w:firstLine="360"/>
        <w:rPr>
          <w:lang w:val="fr-CA"/>
        </w:rPr>
      </w:pPr>
      <w:r>
        <w:rPr>
          <w:rStyle w:val="14"/>
        </w:rPr>
        <w:t>[</w:t>
      </w:r>
      <w:r>
        <w:rPr>
          <w:rStyle w:val="14"/>
        </w:rPr>
        <w:endnoteRef/>
      </w:r>
      <w:r>
        <w:rPr>
          <w:rStyle w:val="14"/>
        </w:rPr>
        <w:t>]</w:t>
      </w:r>
      <w:r>
        <w:t xml:space="preserve"> </w:t>
      </w:r>
      <w:r>
        <w:rPr>
          <w:rFonts w:hint="eastAsia"/>
        </w:rPr>
        <w:t>在门德尔松休假期间，他表现出了极大的奉献精神和领导能力，成功地管理了建筑办公室。来自</w:t>
      </w:r>
      <w:r>
        <w:rPr>
          <w:rFonts w:hint="eastAsia"/>
          <w:lang w:val="fr-CA"/>
        </w:rPr>
        <w:t>Archives de l'État en Belgique.Inventaire des archives du Crédit foncierd'Extrême-Orient et de sa filiale, la Société Hypothécaire de Tanger (1907 - 1991). 933</w:t>
      </w:r>
    </w:p>
  </w:endnote>
  <w:endnote w:id="36">
    <w:p w14:paraId="6E76E3A8">
      <w:pPr>
        <w:pStyle w:val="4"/>
        <w:ind w:firstLine="360"/>
      </w:pPr>
      <w:r>
        <w:rPr>
          <w:rStyle w:val="14"/>
          <w:lang w:val="fr-CA"/>
        </w:rPr>
        <w:t>[</w:t>
      </w:r>
      <w:r>
        <w:rPr>
          <w:rStyle w:val="14"/>
        </w:rPr>
        <w:endnoteRef/>
      </w:r>
      <w:r>
        <w:rPr>
          <w:rStyle w:val="14"/>
          <w:lang w:val="fr-CA"/>
        </w:rPr>
        <w:t>]</w:t>
      </w:r>
      <w:r>
        <w:rPr>
          <w:lang w:val="fr-CA"/>
        </w:rPr>
        <w:t xml:space="preserve"> </w:t>
      </w:r>
      <w:r>
        <w:rPr>
          <w:rFonts w:hint="eastAsia"/>
        </w:rPr>
        <w:t>皮埃尔</w:t>
      </w:r>
      <w:r>
        <w:rPr>
          <w:rFonts w:hint="eastAsia"/>
          <w:lang w:val="fr-CA"/>
        </w:rPr>
        <w:t>·</w:t>
      </w:r>
      <w:r>
        <w:rPr>
          <w:rFonts w:hint="eastAsia"/>
        </w:rPr>
        <w:t>苏贝朗</w:t>
      </w:r>
      <w:r>
        <w:rPr>
          <w:lang w:val="fr-CA"/>
        </w:rPr>
        <w:t>（Pierre Soubeyran</w:t>
      </w:r>
      <w:r>
        <w:rPr>
          <w:rFonts w:hint="eastAsia"/>
          <w:lang w:val="fr-CA"/>
        </w:rPr>
        <w:t>）</w:t>
      </w:r>
      <w:r>
        <w:rPr>
          <w:rFonts w:hint="eastAsia"/>
        </w:rPr>
        <w:t>于</w:t>
      </w:r>
      <w:r>
        <w:rPr>
          <w:rFonts w:hint="eastAsia"/>
          <w:lang w:val="fr-CA"/>
        </w:rPr>
        <w:t>1730</w:t>
      </w:r>
      <w:r>
        <w:rPr>
          <w:rFonts w:hint="eastAsia"/>
        </w:rPr>
        <w:t>年前往巴黎接受雕刻学习</w:t>
      </w:r>
      <w:r>
        <w:rPr>
          <w:rFonts w:hint="eastAsia"/>
          <w:lang w:val="fr-CA"/>
        </w:rPr>
        <w:t>，</w:t>
      </w:r>
      <w:r>
        <w:rPr>
          <w:rFonts w:hint="eastAsia"/>
        </w:rPr>
        <w:t>并于</w:t>
      </w:r>
      <w:r>
        <w:rPr>
          <w:rFonts w:hint="eastAsia"/>
          <w:lang w:val="fr-CA"/>
        </w:rPr>
        <w:t>1742-1749</w:t>
      </w:r>
      <w:r>
        <w:rPr>
          <w:rFonts w:hint="eastAsia"/>
        </w:rPr>
        <w:t>年间作为法兰西科学院</w:t>
      </w:r>
      <w:r>
        <w:rPr>
          <w:rFonts w:hint="eastAsia"/>
          <w:lang w:val="fr-CA"/>
        </w:rPr>
        <w:t>（French</w:t>
      </w:r>
      <w:r>
        <w:rPr>
          <w:lang w:val="fr-CA"/>
        </w:rPr>
        <w:t> </w:t>
      </w:r>
      <w:r>
        <w:fldChar w:fldCharType="begin"/>
      </w:r>
      <w:r>
        <w:instrText xml:space="preserve"> HYPERLINK "https://en.wikipedia.org/wiki/Academy_of_Sciences" \o "Academy of Sciences" </w:instrText>
      </w:r>
      <w:r>
        <w:fldChar w:fldCharType="separate"/>
      </w:r>
      <w:r>
        <w:rPr>
          <w:lang w:val="fr-CA"/>
        </w:rPr>
        <w:t>Academy of Sciences</w:t>
      </w:r>
      <w:r>
        <w:rPr>
          <w:lang w:val="fr-CA"/>
        </w:rPr>
        <w:fldChar w:fldCharType="end"/>
      </w:r>
      <w:r>
        <w:rPr>
          <w:rFonts w:hint="eastAsia"/>
          <w:lang w:val="fr-CA"/>
        </w:rPr>
        <w:t>）</w:t>
      </w:r>
      <w:r>
        <w:rPr>
          <w:rFonts w:hint="eastAsia"/>
        </w:rPr>
        <w:t>的成员获得了非常好的声誉</w:t>
      </w:r>
      <w:r>
        <w:rPr>
          <w:rFonts w:hint="eastAsia"/>
          <w:lang w:val="fr-CA"/>
        </w:rPr>
        <w:t>（</w:t>
      </w:r>
      <w:r>
        <w:rPr>
          <w:rFonts w:hint="eastAsia"/>
        </w:rPr>
        <w:t>参见</w:t>
      </w:r>
      <w:r>
        <w:rPr>
          <w:rFonts w:hint="eastAsia"/>
          <w:lang w:val="fr-CA"/>
        </w:rPr>
        <w:t>Danielle Buyssens:</w:t>
      </w:r>
      <w:r>
        <w:rPr>
          <w:lang w:val="fr-CA"/>
        </w:rPr>
        <w:t> La carrière parisienne de Pierre Soubeyran, premier directeur de l'école publique de dessin de Genève. In Liber</w:t>
      </w:r>
      <w:r>
        <w:rPr>
          <w:rFonts w:hint="eastAsia"/>
          <w:lang w:val="fr-CA"/>
        </w:rPr>
        <w:t xml:space="preserve"> </w:t>
      </w:r>
      <w:r>
        <w:rPr>
          <w:lang w:val="fr-CA"/>
        </w:rPr>
        <w:t>veritatis. 2007</w:t>
      </w:r>
      <w:r>
        <w:rPr>
          <w:rFonts w:hint="eastAsia"/>
          <w:lang w:val="fr-CA"/>
        </w:rPr>
        <w:t>：</w:t>
      </w:r>
      <w:r>
        <w:rPr>
          <w:lang w:val="fr-CA"/>
        </w:rPr>
        <w:t>181–189</w:t>
      </w:r>
      <w:r>
        <w:rPr>
          <w:rFonts w:hint="eastAsia"/>
          <w:lang w:val="fr-CA"/>
        </w:rPr>
        <w:t>）；</w:t>
      </w:r>
      <w:r>
        <w:rPr>
          <w:rFonts w:hint="eastAsia"/>
        </w:rPr>
        <w:t>詹姆斯</w:t>
      </w:r>
      <w:r>
        <w:rPr>
          <w:rFonts w:hint="eastAsia"/>
          <w:lang w:val="fr-CA"/>
        </w:rPr>
        <w:t>·</w:t>
      </w:r>
      <w:r>
        <w:rPr>
          <w:rFonts w:hint="eastAsia"/>
        </w:rPr>
        <w:t>维伯特</w:t>
      </w:r>
      <w:r>
        <w:rPr>
          <w:lang w:val="fr-CA"/>
        </w:rPr>
        <w:t> （James Vibert</w:t>
      </w:r>
      <w:r>
        <w:rPr>
          <w:rFonts w:hint="eastAsia"/>
          <w:lang w:val="fr-CA"/>
        </w:rPr>
        <w:t>）</w:t>
      </w:r>
      <w:r>
        <w:rPr>
          <w:rFonts w:hint="eastAsia"/>
        </w:rPr>
        <w:t>是雕塑家</w:t>
      </w:r>
      <w:r>
        <w:rPr>
          <w:rFonts w:hint="eastAsia"/>
          <w:lang w:val="fr-CA"/>
        </w:rPr>
        <w:t>，</w:t>
      </w:r>
      <w:r>
        <w:rPr>
          <w:rFonts w:hint="eastAsia"/>
        </w:rPr>
        <w:t>他在被任命为日内瓦美院教授前</w:t>
      </w:r>
      <w:r>
        <w:rPr>
          <w:rFonts w:hint="eastAsia"/>
          <w:lang w:val="fr-CA"/>
        </w:rPr>
        <w:t>，</w:t>
      </w:r>
      <w:r>
        <w:rPr>
          <w:rFonts w:hint="eastAsia"/>
        </w:rPr>
        <w:t>也曾于</w:t>
      </w:r>
      <w:r>
        <w:rPr>
          <w:rFonts w:hint="eastAsia"/>
          <w:lang w:val="fr-CA"/>
        </w:rPr>
        <w:t>1891</w:t>
      </w:r>
      <w:r>
        <w:rPr>
          <w:rFonts w:hint="eastAsia"/>
        </w:rPr>
        <w:t>年移居巴黎并加入罗丹的工作室</w:t>
      </w:r>
      <w:r>
        <w:rPr>
          <w:rFonts w:hint="eastAsia"/>
          <w:lang w:val="fr-CA"/>
        </w:rPr>
        <w:t>；</w:t>
      </w:r>
      <w:r>
        <w:fldChar w:fldCharType="begin"/>
      </w:r>
      <w:r>
        <w:instrText xml:space="preserve"> HYPERLINK "https://fr.wikipedia.org/wiki/Ferdinand_Hodler" \o "费迪南德·霍德勒" </w:instrText>
      </w:r>
      <w:r>
        <w:fldChar w:fldCharType="separate"/>
      </w:r>
      <w:r>
        <w:t>巴泰勒米</w:t>
      </w:r>
      <w:r>
        <w:rPr>
          <w:lang w:val="fr-CA"/>
        </w:rPr>
        <w:t>·</w:t>
      </w:r>
      <w:r>
        <w:t>门恩</w:t>
      </w:r>
      <w:r>
        <w:rPr>
          <w:lang w:val="fr-CA"/>
        </w:rPr>
        <w:t xml:space="preserve"> (Barthélemy Menn) </w:t>
      </w:r>
      <w:r>
        <w:rPr>
          <w:lang w:val="fr-CA"/>
        </w:rPr>
        <w:fldChar w:fldCharType="end"/>
      </w:r>
      <w:r>
        <w:rPr>
          <w:rFonts w:hint="eastAsia"/>
        </w:rPr>
        <w:t>也曾在</w:t>
      </w:r>
      <w:r>
        <w:rPr>
          <w:rFonts w:hint="eastAsia"/>
          <w:lang w:val="fr-CA"/>
        </w:rPr>
        <w:t>1839-1843</w:t>
      </w:r>
      <w:r>
        <w:rPr>
          <w:rFonts w:hint="eastAsia"/>
        </w:rPr>
        <w:t>年间在巴黎举办展览、教授绘画课</w:t>
      </w:r>
      <w:r>
        <w:rPr>
          <w:rFonts w:hint="eastAsia"/>
          <w:lang w:val="fr-CA"/>
        </w:rPr>
        <w:t>，</w:t>
      </w:r>
      <w:r>
        <w:rPr>
          <w:rFonts w:hint="eastAsia"/>
        </w:rPr>
        <w:t>并被任命去装饰巴黎卢森堡宫图书馆的圆顶</w:t>
      </w:r>
      <w:r>
        <w:rPr>
          <w:rFonts w:hint="eastAsia"/>
          <w:lang w:val="fr-CA"/>
        </w:rPr>
        <w:t>，</w:t>
      </w:r>
      <w:r>
        <w:rPr>
          <w:rFonts w:hint="eastAsia"/>
        </w:rPr>
        <w:t>画家莫里斯</w:t>
      </w:r>
      <w:r>
        <w:rPr>
          <w:rFonts w:hint="eastAsia"/>
          <w:lang w:val="fr-CA"/>
        </w:rPr>
        <w:t>.</w:t>
      </w:r>
      <w:r>
        <w:rPr>
          <w:rFonts w:hint="eastAsia"/>
        </w:rPr>
        <w:t>桑</w:t>
      </w:r>
      <w:r>
        <w:rPr>
          <w:rFonts w:hint="eastAsia"/>
          <w:lang w:val="fr-CA"/>
        </w:rPr>
        <w:t>（Maurice Sand）</w:t>
      </w:r>
      <w:r>
        <w:rPr>
          <w:rFonts w:hint="eastAsia"/>
        </w:rPr>
        <w:t>就是他这一时期的学生。</w:t>
      </w:r>
    </w:p>
  </w:endnote>
  <w:endnote w:id="37">
    <w:p w14:paraId="4AD3F610">
      <w:pPr>
        <w:pStyle w:val="4"/>
        <w:ind w:firstLine="360"/>
      </w:pPr>
      <w:r>
        <w:rPr>
          <w:rStyle w:val="14"/>
        </w:rPr>
        <w:t>[</w:t>
      </w:r>
      <w:r>
        <w:rPr>
          <w:rStyle w:val="14"/>
        </w:rPr>
        <w:endnoteRef/>
      </w:r>
      <w:r>
        <w:rPr>
          <w:rStyle w:val="14"/>
        </w:rPr>
        <w:t>]</w:t>
      </w:r>
      <w:r>
        <w:t xml:space="preserve"> </w:t>
      </w:r>
      <w:r>
        <w:rPr>
          <w:rFonts w:hint="eastAsia"/>
        </w:rPr>
        <w:t>爱德华·卡斯特雷 (Édouard Castres</w:t>
      </w:r>
      <w:r>
        <w:t> )</w:t>
      </w:r>
      <w:r>
        <w:rPr>
          <w:rFonts w:hint="eastAsia"/>
        </w:rPr>
        <w:t>毕业后也前往巴黎美院继续深造，他曾作为志愿军参加了普法战争，并参与了军队撤往瑞士的活动；古斯塔夫·亨利·德·博蒙特 (Gustave Henri de Beaumont)同样前往巴黎美院深造，回到瑞士之后在卡斯特雷的指导下创作了《布尔巴基全景》再现了普法战争中的场景。</w:t>
      </w:r>
    </w:p>
  </w:endnote>
  <w:endnote w:id="38">
    <w:p w14:paraId="55EE7668">
      <w:pPr>
        <w:pStyle w:val="4"/>
        <w:ind w:firstLine="360"/>
      </w:pPr>
      <w:r>
        <w:rPr>
          <w:rStyle w:val="14"/>
        </w:rPr>
        <w:t>[</w:t>
      </w:r>
      <w:r>
        <w:rPr>
          <w:rStyle w:val="14"/>
        </w:rPr>
        <w:endnoteRef/>
      </w:r>
      <w:r>
        <w:rPr>
          <w:rStyle w:val="14"/>
        </w:rPr>
        <w:t>]</w:t>
      </w:r>
      <w:r>
        <w:t xml:space="preserve"> </w:t>
      </w:r>
      <w:r>
        <w:rPr>
          <w:rFonts w:hint="eastAsia"/>
        </w:rPr>
        <w:t>在担任院长前，纳维兹就曾依托1812年的绘画奖项来到巴黎，在</w:t>
      </w:r>
      <w:r>
        <w:fldChar w:fldCharType="begin"/>
      </w:r>
      <w:r>
        <w:instrText xml:space="preserve"> HYPERLINK "https://fr.wikipedia.org/wiki/Jacques-Louis_David" \o "雅克·路易·大卫" </w:instrText>
      </w:r>
      <w:r>
        <w:fldChar w:fldCharType="separate"/>
      </w:r>
      <w:r>
        <w:t>雅克·路易·大卫</w:t>
      </w:r>
      <w:r>
        <w:fldChar w:fldCharType="end"/>
      </w:r>
      <w:r>
        <w:rPr>
          <w:rFonts w:hint="eastAsia"/>
        </w:rPr>
        <w:t>（</w:t>
      </w:r>
      <w:r>
        <w:t>Jacques-Louis David</w:t>
      </w:r>
      <w:r>
        <w:rPr>
          <w:rFonts w:hint="eastAsia"/>
        </w:rPr>
        <w:t>）</w:t>
      </w:r>
      <w:r>
        <w:t>的</w:t>
      </w:r>
      <w:r>
        <w:rPr>
          <w:rFonts w:hint="eastAsia"/>
        </w:rPr>
        <w:t>工作室学习了四年，之后在罗马学习的四年中又遇到了安格尔（</w:t>
      </w:r>
      <w:r>
        <w:t>Jean-Auguste-Dominique Ingres</w:t>
      </w:r>
      <w:r>
        <w:rPr>
          <w:rFonts w:hint="eastAsia"/>
        </w:rPr>
        <w:t>）等人。大卫曾就读于皇家绘画与雕塑学院，被认为是新古典主义运动的领袖，安格尔是</w:t>
      </w:r>
      <w:r>
        <w:t>大卫</w:t>
      </w:r>
      <w:r>
        <w:rPr>
          <w:rFonts w:hint="eastAsia"/>
        </w:rPr>
        <w:t>的学生，法国画家、音乐家，于1801年获得罗马绘画大奖。</w:t>
      </w:r>
    </w:p>
  </w:endnote>
  <w:endnote w:id="39">
    <w:p w14:paraId="19A15207">
      <w:pPr>
        <w:pStyle w:val="4"/>
        <w:ind w:firstLine="360"/>
      </w:pPr>
      <w:r>
        <w:rPr>
          <w:rStyle w:val="14"/>
        </w:rPr>
        <w:t>[</w:t>
      </w:r>
      <w:r>
        <w:rPr>
          <w:rStyle w:val="14"/>
        </w:rPr>
        <w:endnoteRef/>
      </w:r>
      <w:r>
        <w:rPr>
          <w:rStyle w:val="14"/>
        </w:rPr>
        <w:t>]</w:t>
      </w:r>
      <w:r>
        <w:rPr>
          <w:rFonts w:hint="eastAsia"/>
        </w:rPr>
        <w:t xml:space="preserve"> 蒂尔曼-弗朗索瓦·苏伊斯 (Tilman-François Suys)</w:t>
      </w:r>
      <w:r>
        <w:t xml:space="preserve"> </w:t>
      </w:r>
      <w:r>
        <w:rPr>
          <w:rFonts w:hint="eastAsia"/>
        </w:rPr>
        <w:t>在巴黎美院的老师</w:t>
      </w:r>
      <w:r>
        <w:fldChar w:fldCharType="begin"/>
      </w:r>
      <w:r>
        <w:instrText xml:space="preserve"> HYPERLINK "https://fr.wikipedia.org/wiki/Charles_Percier" \o "Charles Percier" </w:instrText>
      </w:r>
      <w:r>
        <w:fldChar w:fldCharType="separate"/>
      </w:r>
      <w:r>
        <w:t>查尔斯·珀西尔（Charles Percier）</w:t>
      </w:r>
      <w:r>
        <w:fldChar w:fldCharType="end"/>
      </w:r>
      <w:r>
        <w:rPr>
          <w:rFonts w:hint="eastAsia"/>
        </w:rPr>
        <w:t>是曾经参与过歌剧院布景的法国新古典主义建筑师和装饰家。在</w:t>
      </w:r>
      <w:r>
        <w:t>珀西尔</w:t>
      </w:r>
      <w:r>
        <w:rPr>
          <w:rFonts w:hint="eastAsia"/>
        </w:rPr>
        <w:t>的工作室中，苏伊斯还受到珀西尔的同学、合作者皮埃尔·方丹（Pierre Fontaine）的影响，方丹是法国新古典主义建筑师和装潢师，1880年被任命为荣军院建筑师，1801年与珀西尔一同被任命为政府建筑师。</w:t>
      </w:r>
    </w:p>
  </w:endnote>
  <w:endnote w:id="40">
    <w:p w14:paraId="18EFE6F8">
      <w:pPr>
        <w:pStyle w:val="4"/>
        <w:ind w:firstLine="360"/>
      </w:pPr>
      <w:r>
        <w:rPr>
          <w:rStyle w:val="14"/>
        </w:rPr>
        <w:t>[</w:t>
      </w:r>
      <w:r>
        <w:rPr>
          <w:rStyle w:val="14"/>
        </w:rPr>
        <w:endnoteRef/>
      </w:r>
      <w:r>
        <w:rPr>
          <w:rStyle w:val="14"/>
        </w:rPr>
        <w:t>]</w:t>
      </w:r>
      <w:r>
        <w:t xml:space="preserve"> </w:t>
      </w:r>
      <w:r>
        <w:rPr>
          <w:rFonts w:hint="eastAsia"/>
        </w:rPr>
        <w:t>前法国国家机构，负责在1648年至1793年间法国的绘画和雕塑管理教学，后被美术学院（</w:t>
      </w:r>
      <w:r>
        <w:fldChar w:fldCharType="begin"/>
      </w:r>
      <w:r>
        <w:instrText xml:space="preserve"> HYPERLINK "https://fr.wikipedia.org/wiki/Acad%C3%A9mie_des_beaux-arts_(France)" \o "Académie des beaux-arts (France)" </w:instrText>
      </w:r>
      <w:r>
        <w:fldChar w:fldCharType="separate"/>
      </w:r>
      <w:r>
        <w:t>Académie des beaux-arts</w:t>
      </w:r>
      <w:r>
        <w:fldChar w:fldCharType="end"/>
      </w:r>
      <w:r>
        <w:rPr>
          <w:rFonts w:hint="eastAsia"/>
        </w:rPr>
        <w:t>）取代，最终被法兰西学院（ </w:t>
      </w:r>
      <w:r>
        <w:fldChar w:fldCharType="begin"/>
      </w:r>
      <w:r>
        <w:instrText xml:space="preserve"> HYPERLINK "https://fr.wikipedia.org/wiki/Institut_de_France" \o "Institut de France" </w:instrText>
      </w:r>
      <w:r>
        <w:fldChar w:fldCharType="separate"/>
      </w:r>
      <w:r>
        <w:t>Institut de France</w:t>
      </w:r>
      <w:r>
        <w:fldChar w:fldCharType="end"/>
      </w:r>
      <w:r>
        <w:rPr>
          <w:rFonts w:hint="eastAsia"/>
        </w:rPr>
        <w:t>）取代。</w:t>
      </w:r>
    </w:p>
  </w:endnote>
  <w:endnote w:id="41">
    <w:p w14:paraId="26B46395">
      <w:pPr>
        <w:pStyle w:val="4"/>
        <w:ind w:firstLine="360"/>
      </w:pPr>
      <w:r>
        <w:rPr>
          <w:rStyle w:val="14"/>
        </w:rPr>
        <w:t>[</w:t>
      </w:r>
      <w:r>
        <w:rPr>
          <w:rStyle w:val="14"/>
        </w:rPr>
        <w:endnoteRef/>
      </w:r>
      <w:r>
        <w:rPr>
          <w:rStyle w:val="14"/>
        </w:rPr>
        <w:t>]</w:t>
      </w:r>
      <w:r>
        <w:t xml:space="preserve"> </w:t>
      </w:r>
      <w:r>
        <w:rPr>
          <w:rFonts w:hint="eastAsia"/>
        </w:rPr>
        <w:t>一系列高等艺术教育机构，成立于1863年，主要位于比利时，教授漫画、图形、建筑、绘画、雕塑等。</w:t>
      </w:r>
    </w:p>
  </w:endnote>
  <w:endnote w:id="42">
    <w:p w14:paraId="0A814A73">
      <w:pPr>
        <w:pStyle w:val="4"/>
        <w:ind w:firstLine="360"/>
      </w:pPr>
      <w:r>
        <w:rPr>
          <w:rStyle w:val="14"/>
        </w:rPr>
        <w:t>[</w:t>
      </w:r>
      <w:r>
        <w:rPr>
          <w:rStyle w:val="14"/>
        </w:rPr>
        <w:endnoteRef/>
      </w:r>
      <w:r>
        <w:rPr>
          <w:rStyle w:val="14"/>
        </w:rPr>
        <w:t>]</w:t>
      </w:r>
      <w:r>
        <w:t xml:space="preserve"> </w:t>
      </w:r>
      <w:r>
        <w:rPr>
          <w:rFonts w:hint="eastAsia"/>
        </w:rPr>
        <w:t>“</w:t>
      </w:r>
      <w:r>
        <w:t>3 années a l'Académie de Bruxelles</w:t>
      </w:r>
      <w:r>
        <w:rPr>
          <w:rFonts w:hint="eastAsia"/>
        </w:rPr>
        <w:t>...</w:t>
      </w:r>
      <w:r>
        <w:t xml:space="preserve">Une année d'architecture (composition) </w:t>
      </w:r>
      <w:r>
        <w:rPr>
          <w:rFonts w:hint="eastAsia"/>
        </w:rPr>
        <w:t xml:space="preserve">a </w:t>
      </w:r>
      <w:r>
        <w:t>l'école St Luc</w:t>
      </w:r>
      <w:r>
        <w:rPr>
          <w:rFonts w:hint="eastAsia"/>
        </w:rPr>
        <w:t>” 参见Archives de l'État en Belgique.Inventaire des archives du Crédit foncierd'Extrême-Orient et de sa filiale, la Société Hypothécaire de Tanger (1907 - 1991). 1165.</w:t>
      </w:r>
    </w:p>
  </w:endnote>
  <w:endnote w:id="43">
    <w:p w14:paraId="1D3052B7">
      <w:pPr>
        <w:pStyle w:val="4"/>
        <w:ind w:firstLine="360"/>
      </w:pPr>
      <w:r>
        <w:rPr>
          <w:rStyle w:val="14"/>
        </w:rPr>
        <w:t>[</w:t>
      </w:r>
      <w:r>
        <w:rPr>
          <w:rStyle w:val="14"/>
        </w:rPr>
        <w:endnoteRef/>
      </w:r>
      <w:r>
        <w:rPr>
          <w:rStyle w:val="14"/>
        </w:rPr>
        <w:t>]</w:t>
      </w:r>
      <w:r>
        <w:t xml:space="preserve"> </w:t>
      </w:r>
      <w:r>
        <w:rPr>
          <w:rFonts w:hint="eastAsia"/>
        </w:rPr>
        <w:t>钱锋,倪佳仪,岳婧欣.从对称到均衡轴线在布扎建筑“组构”中的多重运用[J].时代建筑,2023,(02):154-163.</w:t>
      </w:r>
    </w:p>
  </w:endnote>
  <w:endnote w:id="44">
    <w:p w14:paraId="092791AF">
      <w:pPr>
        <w:pStyle w:val="4"/>
        <w:ind w:firstLine="360"/>
      </w:pPr>
      <w:r>
        <w:rPr>
          <w:rStyle w:val="14"/>
        </w:rPr>
        <w:t>[</w:t>
      </w:r>
      <w:r>
        <w:rPr>
          <w:rStyle w:val="14"/>
        </w:rPr>
        <w:endnoteRef/>
      </w:r>
      <w:r>
        <w:rPr>
          <w:rStyle w:val="14"/>
        </w:rPr>
        <w:t>]</w:t>
      </w:r>
      <w:r>
        <w:t xml:space="preserve"> </w:t>
      </w:r>
      <w:r>
        <w:rPr>
          <w:rFonts w:hint="eastAsia"/>
        </w:rPr>
        <w:t>比利时新古典主义建筑和折衷主义建筑代表，出生于巴黎，毕业于巴黎美院，布拉班特省政府 Rue du Chêne 的侧翼由他</w:t>
      </w:r>
      <w:r>
        <w:t>和 G.Hano (1907) 设计</w:t>
      </w:r>
    </w:p>
  </w:endnote>
  <w:endnote w:id="45">
    <w:p w14:paraId="234C69ED">
      <w:pPr>
        <w:pStyle w:val="4"/>
        <w:ind w:firstLine="360"/>
      </w:pPr>
      <w:r>
        <w:rPr>
          <w:rStyle w:val="14"/>
        </w:rPr>
        <w:t>[</w:t>
      </w:r>
      <w:r>
        <w:rPr>
          <w:rStyle w:val="14"/>
        </w:rPr>
        <w:endnoteRef/>
      </w:r>
      <w:r>
        <w:rPr>
          <w:rStyle w:val="14"/>
        </w:rPr>
        <w:t>]</w:t>
      </w:r>
      <w:r>
        <w:t xml:space="preserve"> </w:t>
      </w:r>
      <w:r>
        <w:rPr>
          <w:rFonts w:hint="eastAsia"/>
        </w:rPr>
        <w:t>法国天主教会创办的教会学校，于1921年由献县教区神甫赴津创办，英语和法语授课，任教老师主要邀请法国传教士或其他国籍的专家学者，管理、庶务和中文课由华人担任。</w:t>
      </w:r>
    </w:p>
  </w:endnote>
  <w:endnote w:id="46">
    <w:p w14:paraId="46940CD1">
      <w:pPr>
        <w:pStyle w:val="4"/>
        <w:ind w:firstLine="360"/>
        <w:rPr>
          <w:lang w:val="fr-CA"/>
        </w:rPr>
      </w:pPr>
      <w:r>
        <w:rPr>
          <w:rStyle w:val="14"/>
          <w:lang w:val="fr-CA"/>
        </w:rPr>
        <w:t>[</w:t>
      </w:r>
      <w:r>
        <w:rPr>
          <w:rStyle w:val="14"/>
        </w:rPr>
        <w:endnoteRef/>
      </w:r>
      <w:r>
        <w:rPr>
          <w:rStyle w:val="14"/>
          <w:lang w:val="fr-CA"/>
        </w:rPr>
        <w:t>]</w:t>
      </w:r>
      <w:r>
        <w:rPr>
          <w:lang w:val="fr-CA"/>
        </w:rPr>
        <w:t xml:space="preserve"> </w:t>
      </w:r>
      <w:r>
        <w:rPr>
          <w:rFonts w:hint="eastAsia"/>
          <w:lang w:val="fr-CA"/>
        </w:rPr>
        <w:t>Archives de l'État en Belgique.Inventaire des archives du Crédit foncierd'Extrême-Orient et de sa filiale, la Société Hypothécaire de Tanger (1907 - 1991). 1100.</w:t>
      </w:r>
    </w:p>
  </w:endnote>
  <w:endnote w:id="47">
    <w:p w14:paraId="26784DD7">
      <w:pPr>
        <w:pStyle w:val="4"/>
        <w:ind w:firstLine="360"/>
        <w:rPr>
          <w:lang w:val="fr-CA"/>
        </w:rPr>
      </w:pPr>
      <w:r>
        <w:rPr>
          <w:rStyle w:val="14"/>
          <w:lang w:val="fr-CA"/>
        </w:rPr>
        <w:t>[</w:t>
      </w:r>
      <w:r>
        <w:rPr>
          <w:rStyle w:val="14"/>
        </w:rPr>
        <w:endnoteRef/>
      </w:r>
      <w:r>
        <w:rPr>
          <w:rStyle w:val="14"/>
          <w:lang w:val="fr-CA"/>
        </w:rPr>
        <w:t>]</w:t>
      </w:r>
      <w:r>
        <w:rPr>
          <w:lang w:val="fr-CA"/>
        </w:rPr>
        <w:t xml:space="preserve"> </w:t>
      </w:r>
      <w:r>
        <w:rPr>
          <w:rFonts w:hint="eastAsia"/>
          <w:lang w:val="fr-CA"/>
        </w:rPr>
        <w:t>Archives de l'État en Belgique.Inventaire des archives du Crédit foncierd'Extrême-Orient et de sa filiale, la Société Hypothécaire de Tanger (1907 - 1991). 933.</w:t>
      </w:r>
    </w:p>
  </w:endnote>
  <w:endnote w:id="48">
    <w:p w14:paraId="3140FB2C">
      <w:pPr>
        <w:pStyle w:val="4"/>
        <w:ind w:firstLine="360"/>
      </w:pPr>
      <w:r>
        <w:rPr>
          <w:rStyle w:val="14"/>
          <w:lang w:val="fr-CA"/>
        </w:rPr>
        <w:t>[</w:t>
      </w:r>
      <w:r>
        <w:rPr>
          <w:rStyle w:val="14"/>
        </w:rPr>
        <w:endnoteRef/>
      </w:r>
      <w:r>
        <w:rPr>
          <w:rStyle w:val="14"/>
          <w:lang w:val="fr-CA"/>
        </w:rPr>
        <w:t>]</w:t>
      </w:r>
      <w:r>
        <w:rPr>
          <w:lang w:val="fr-CA"/>
        </w:rPr>
        <w:t xml:space="preserve"> </w:t>
      </w:r>
      <w:r>
        <w:rPr>
          <w:rFonts w:hint="eastAsia"/>
          <w:lang w:val="fr-CA"/>
        </w:rPr>
        <w:t xml:space="preserve">Archives de l'État en Belgique.Inventaire des archives du Crédit foncierd'Extrême-Orient et de sa filiale, la Société Hypothécaire de Tanger (1907 - 1991). </w:t>
      </w:r>
      <w:r>
        <w:rPr>
          <w:rFonts w:hint="eastAsia"/>
        </w:rPr>
        <w:t>933.</w:t>
      </w:r>
    </w:p>
  </w:endnote>
  <w:endnote w:id="49">
    <w:p w14:paraId="3EDDEE9A">
      <w:pPr>
        <w:pStyle w:val="4"/>
        <w:ind w:firstLine="360"/>
      </w:pPr>
      <w:r>
        <w:rPr>
          <w:rStyle w:val="14"/>
        </w:rPr>
        <w:t>[</w:t>
      </w:r>
      <w:r>
        <w:rPr>
          <w:rStyle w:val="14"/>
        </w:rPr>
        <w:endnoteRef/>
      </w:r>
      <w:r>
        <w:rPr>
          <w:rStyle w:val="14"/>
        </w:rPr>
        <w:t>]</w:t>
      </w:r>
      <w:r>
        <w:t xml:space="preserve"> </w:t>
      </w:r>
      <w:r>
        <w:rPr>
          <w:rFonts w:hint="eastAsia"/>
        </w:rPr>
        <w:t>毕业于巴黎美院，在天津期间任职于永和营造司，后辞职至上海入职义品公司上海分部。参见</w:t>
      </w:r>
      <w:r>
        <w:rPr>
          <w:rFonts w:hint="eastAsia"/>
          <w:lang w:val="fr-CA"/>
        </w:rPr>
        <w:t xml:space="preserve">Archives de l'État en Belgique.Inventaire des archives du Crédit foncierd'Extrême-Orient et de sa filiale, la Société Hypothécaire de Tanger (1907 - 1991). </w:t>
      </w:r>
      <w:r>
        <w:rPr>
          <w:rFonts w:hint="eastAsia"/>
        </w:rPr>
        <w:t>1048、1049.</w:t>
      </w:r>
    </w:p>
  </w:endnote>
  <w:endnote w:id="50">
    <w:p w14:paraId="4448FB47">
      <w:pPr>
        <w:pStyle w:val="4"/>
        <w:ind w:firstLine="360"/>
      </w:pPr>
      <w:r>
        <w:rPr>
          <w:rStyle w:val="14"/>
        </w:rPr>
        <w:t>[</w:t>
      </w:r>
      <w:r>
        <w:rPr>
          <w:rStyle w:val="14"/>
        </w:rPr>
        <w:endnoteRef/>
      </w:r>
      <w:r>
        <w:rPr>
          <w:rStyle w:val="14"/>
        </w:rPr>
        <w:t>]</w:t>
      </w:r>
      <w:r>
        <w:t xml:space="preserve"> </w:t>
      </w:r>
      <w:r>
        <w:rPr>
          <w:rFonts w:hint="eastAsia"/>
        </w:rPr>
        <w:t>生卒不详，20世纪初毕业于巴黎美院，永和营造司建筑师，在工商学院教授房屋建筑学与内部装饰学。 参见武求实.法籍天津近代建筑师保罗·慕乐研究[D].天津大学,2012.</w:t>
      </w:r>
    </w:p>
  </w:endnote>
  <w:endnote w:id="51">
    <w:p w14:paraId="0119FB1D">
      <w:pPr>
        <w:pStyle w:val="4"/>
        <w:ind w:firstLine="360"/>
      </w:pPr>
      <w:r>
        <w:rPr>
          <w:rStyle w:val="14"/>
        </w:rPr>
        <w:t>[</w:t>
      </w:r>
      <w:r>
        <w:rPr>
          <w:rStyle w:val="14"/>
        </w:rPr>
        <w:endnoteRef/>
      </w:r>
      <w:r>
        <w:rPr>
          <w:rStyle w:val="14"/>
        </w:rPr>
        <w:t>]</w:t>
      </w:r>
      <w:r>
        <w:t xml:space="preserve"> </w:t>
      </w:r>
      <w:r>
        <w:rPr>
          <w:rFonts w:hint="eastAsia"/>
        </w:rPr>
        <w:t>单踊.西方学院派建筑教育述评[J].建筑师,2003,(03):92-96+103.</w:t>
      </w:r>
    </w:p>
  </w:endnote>
  <w:endnote w:id="52">
    <w:p w14:paraId="750B0A10">
      <w:pPr>
        <w:pStyle w:val="4"/>
        <w:ind w:firstLine="360"/>
        <w:rPr>
          <w:lang w:val="fr-CA"/>
        </w:rPr>
      </w:pPr>
      <w:r>
        <w:rPr>
          <w:rStyle w:val="14"/>
          <w:lang w:val="fr-CA"/>
        </w:rPr>
        <w:t>[</w:t>
      </w:r>
      <w:r>
        <w:rPr>
          <w:rStyle w:val="14"/>
        </w:rPr>
        <w:endnoteRef/>
      </w:r>
      <w:r>
        <w:rPr>
          <w:rStyle w:val="14"/>
          <w:lang w:val="fr-CA"/>
        </w:rPr>
        <w:t>]</w:t>
      </w:r>
      <w:r>
        <w:rPr>
          <w:lang w:val="fr-CA"/>
        </w:rPr>
        <w:t xml:space="preserve"> Thomas COOMANS &amp; Prudence LAU Leung-kwok </w:t>
      </w:r>
      <w:r>
        <w:t>劉亮國</w:t>
      </w:r>
      <w:r>
        <w:rPr>
          <w:lang w:val="fr-CA"/>
        </w:rPr>
        <w:t>, “Les tribulations d’un architecte belge en Chine : Gustave Volckaert, au service du Crédit Foncier d’Extrême-Orient, 1914-1954”, Revue Belge d’Archéologie et d’Histoire de l’Art / Belgisch Tijdschrift voor Oudheidkunde en Kunstgeschiedenis, 81, 2012, p. 129-153 [ISSN: 0035-077X]</w:t>
      </w:r>
      <w:r>
        <w:rPr>
          <w:rFonts w:hint="eastAsia"/>
          <w:lang w:val="fr-CA"/>
        </w:rPr>
        <w:t>.</w:t>
      </w:r>
    </w:p>
  </w:endnote>
  <w:endnote w:id="53">
    <w:p w14:paraId="5EDE199B">
      <w:pPr>
        <w:pStyle w:val="4"/>
        <w:ind w:firstLine="360"/>
      </w:pPr>
      <w:r>
        <w:rPr>
          <w:rStyle w:val="14"/>
        </w:rPr>
        <w:t>[</w:t>
      </w:r>
      <w:r>
        <w:rPr>
          <w:rStyle w:val="14"/>
        </w:rPr>
        <w:endnoteRef/>
      </w:r>
      <w:r>
        <w:rPr>
          <w:rStyle w:val="14"/>
        </w:rPr>
        <w:t>]</w:t>
      </w:r>
      <w:r>
        <w:t xml:space="preserve"> </w:t>
      </w:r>
      <w:r>
        <w:rPr>
          <w:rFonts w:hint="eastAsia"/>
        </w:rPr>
        <w:t>涂颖佳,徐苏斌.布扎建筑与中国传统建筑的另一种碰撞——1900年巴黎世界博览会中国馆设计[J].建筑史学刊,2022,3(04):85-96.</w:t>
      </w:r>
    </w:p>
  </w:endnote>
  <w:endnote w:id="54">
    <w:p w14:paraId="2DDABD8B">
      <w:pPr>
        <w:pStyle w:val="4"/>
        <w:ind w:firstLine="360"/>
        <w:rPr>
          <w:lang w:val="fr-CA"/>
        </w:rPr>
      </w:pPr>
      <w:r>
        <w:rPr>
          <w:rStyle w:val="14"/>
        </w:rPr>
        <w:t>[</w:t>
      </w:r>
      <w:r>
        <w:rPr>
          <w:rStyle w:val="14"/>
        </w:rPr>
        <w:endnoteRef/>
      </w:r>
      <w:r>
        <w:rPr>
          <w:rStyle w:val="14"/>
        </w:rPr>
        <w:t>]</w:t>
      </w:r>
      <w:r>
        <w:rPr>
          <w:rFonts w:hint="eastAsia"/>
          <w:lang w:val="fr-CA"/>
        </w:rPr>
        <w:t xml:space="preserve"> ÉPRON JP. Comprendre l’éclectisme[M]. Paris: Éditions Norma，1997</w:t>
      </w:r>
      <w:r>
        <w:rPr>
          <w:lang w:val="fr-CA"/>
        </w:rPr>
        <w:t> </w:t>
      </w:r>
      <w:r>
        <w:rPr>
          <w:rFonts w:hint="eastAsia"/>
          <w:lang w:val="fr-CA"/>
        </w:rPr>
        <w:t>:159-185.</w:t>
      </w:r>
    </w:p>
  </w:endnote>
  <w:endnote w:id="55">
    <w:p w14:paraId="40AED2AD">
      <w:pPr>
        <w:pStyle w:val="4"/>
        <w:ind w:firstLine="360"/>
      </w:pPr>
      <w:r>
        <w:rPr>
          <w:rStyle w:val="14"/>
        </w:rPr>
        <w:t>[</w:t>
      </w:r>
      <w:r>
        <w:rPr>
          <w:rStyle w:val="14"/>
        </w:rPr>
        <w:endnoteRef/>
      </w:r>
      <w:r>
        <w:rPr>
          <w:rStyle w:val="14"/>
        </w:rPr>
        <w:t>]</w:t>
      </w:r>
      <w:r>
        <w:t xml:space="preserve"> </w:t>
      </w:r>
      <w:r>
        <w:rPr>
          <w:rFonts w:hint="eastAsia"/>
        </w:rPr>
        <w:t>徐苏斌,李天.巴黎美术学院派在天津法租界的影响——以法国建筑师门德尔松为例[J].建筑史,2015,(01):190-198.</w:t>
      </w:r>
    </w:p>
  </w:endnote>
  <w:endnote w:id="56">
    <w:p w14:paraId="49709FB3">
      <w:pPr>
        <w:pStyle w:val="4"/>
        <w:ind w:firstLine="360"/>
      </w:pPr>
      <w:r>
        <w:rPr>
          <w:rStyle w:val="14"/>
        </w:rPr>
        <w:t>[</w:t>
      </w:r>
      <w:r>
        <w:rPr>
          <w:rStyle w:val="14"/>
        </w:rPr>
        <w:endnoteRef/>
      </w:r>
      <w:r>
        <w:rPr>
          <w:rStyle w:val="14"/>
        </w:rPr>
        <w:t>]</w:t>
      </w:r>
      <w:r>
        <w:t xml:space="preserve"> </w:t>
      </w:r>
      <w:r>
        <w:rPr>
          <w:rFonts w:hint="eastAsia"/>
        </w:rPr>
        <w:t>Exposition Internationale des Arts Décoratifs et Industriels Modernes，1925年于巴黎举办</w:t>
      </w:r>
    </w:p>
  </w:endnote>
  <w:endnote w:id="57">
    <w:p w14:paraId="76C96448">
      <w:pPr>
        <w:pStyle w:val="4"/>
        <w:ind w:firstLine="360"/>
      </w:pPr>
      <w:r>
        <w:rPr>
          <w:rStyle w:val="14"/>
        </w:rPr>
        <w:t>[</w:t>
      </w:r>
      <w:r>
        <w:rPr>
          <w:rStyle w:val="14"/>
        </w:rPr>
        <w:endnoteRef/>
      </w:r>
      <w:r>
        <w:rPr>
          <w:rStyle w:val="14"/>
        </w:rPr>
        <w:t>]</w:t>
      </w:r>
      <w:r>
        <w:t xml:space="preserve"> Weißenhofsiedlung</w:t>
      </w:r>
      <w:r>
        <w:rPr>
          <w:rFonts w:hint="eastAsia"/>
        </w:rPr>
        <w:t xml:space="preserve"> ，</w:t>
      </w:r>
      <w:r>
        <w:t>1927年为表示建筑新精神而构筑</w:t>
      </w:r>
      <w:r>
        <w:rPr>
          <w:rFonts w:hint="eastAsia"/>
        </w:rPr>
        <w:t>，</w:t>
      </w:r>
      <w:r>
        <w:t>于</w:t>
      </w:r>
      <w:r>
        <w:fldChar w:fldCharType="begin"/>
      </w:r>
      <w:r>
        <w:instrText xml:space="preserve"> HYPERLINK "https://zh.wikipedia.org/wiki/%E5%BE%B7%E5%9B%BD" \o "德国" </w:instrText>
      </w:r>
      <w:r>
        <w:fldChar w:fldCharType="separate"/>
      </w:r>
      <w:r>
        <w:t>德国</w:t>
      </w:r>
      <w:r>
        <w:fldChar w:fldCharType="end"/>
      </w:r>
      <w:r>
        <w:fldChar w:fldCharType="begin"/>
      </w:r>
      <w:r>
        <w:instrText xml:space="preserve"> HYPERLINK "https://zh.wikipedia.org/wiki/%E6%96%AF%E5%9B%BE%E5%8A%A0%E7%89%B9" \o "斯图加特" </w:instrText>
      </w:r>
      <w:r>
        <w:fldChar w:fldCharType="separate"/>
      </w:r>
      <w:r>
        <w:t>斯图加特</w:t>
      </w:r>
      <w:r>
        <w:fldChar w:fldCharType="end"/>
      </w:r>
      <w:r>
        <w:t>举行</w:t>
      </w:r>
      <w:r>
        <w:rPr>
          <w:rFonts w:hint="eastAsia"/>
        </w:rPr>
        <w:t>。</w:t>
      </w:r>
    </w:p>
  </w:endnote>
  <w:endnote w:id="58">
    <w:p w14:paraId="62EE77F8">
      <w:pPr>
        <w:pStyle w:val="4"/>
        <w:ind w:firstLine="360"/>
      </w:pPr>
      <w:r>
        <w:rPr>
          <w:rStyle w:val="14"/>
        </w:rPr>
        <w:t>[</w:t>
      </w:r>
      <w:r>
        <w:rPr>
          <w:rStyle w:val="14"/>
        </w:rPr>
        <w:endnoteRef/>
      </w:r>
      <w:r>
        <w:rPr>
          <w:rStyle w:val="14"/>
        </w:rPr>
        <w:t>]</w:t>
      </w:r>
      <w:r>
        <w:t xml:space="preserve"> </w:t>
      </w:r>
      <w:r>
        <w:rPr>
          <w:rFonts w:hint="eastAsia"/>
        </w:rPr>
        <w:t>例如出自巴黎Jean Breasons&amp;Albert Drouet事务所和Louis Süe事务所，布鲁塞尔的Fernand Bodson&amp;Antoine Pompe事务所、Georges Hobe等的建筑师。参见</w:t>
      </w:r>
      <w:r>
        <w:t>Thomas COOMANS &amp; Prudence LAU Leung-kwok 劉亮國, “Les tribulations d’un architecte belge en Chine : Gustave Volckaert, au service du Crédit Foncier d’Extrême-Orient, 1914-1954”, Revue Belge d’Archéologie et d’Histoire de l’Art / Belgisch Tijdschrift voor Oudheidkunde en Kunstgeschiedenis, 81, 2012, p. 129-153 [ISSN: 0035-077X]</w:t>
      </w:r>
      <w:r>
        <w:rPr>
          <w:rFonts w:hint="eastAsia"/>
        </w:rPr>
        <w:t>；这些建筑师通常使用Hennebique类型的钢筋混凝土结构，Fernand Hennebique是19世纪末法国的一位工程师和建筑师，他以开发钢筋混凝土建筑技术而闻名，这种技术后来被广泛应用于现代建筑中。参见</w:t>
      </w:r>
      <w:r>
        <w:t>LAU, Leung Kwok Prudence</w:t>
      </w:r>
      <w:r>
        <w:rPr>
          <w:rFonts w:hint="eastAsia"/>
        </w:rPr>
        <w:t xml:space="preserve"> .Adaptive Modern and Speculative Urbanism_The Architecture of the Crédit Foncier d'Extrême-Orient (C.F.E.O.) in Hong Kong and China's Treaty Ports[D].</w:t>
      </w:r>
      <w:r>
        <w:t xml:space="preserve"> The Chinese University of Hong Kong</w:t>
      </w:r>
      <w:r>
        <w:rPr>
          <w:rFonts w:hint="eastAsia"/>
        </w:rPr>
        <w:t>.2013.</w:t>
      </w:r>
    </w:p>
  </w:endnote>
  <w:endnote w:id="59">
    <w:p w14:paraId="69A65013">
      <w:pPr>
        <w:pStyle w:val="4"/>
        <w:ind w:firstLine="360"/>
      </w:pPr>
      <w:r>
        <w:rPr>
          <w:rStyle w:val="14"/>
        </w:rPr>
        <w:t>[</w:t>
      </w:r>
      <w:r>
        <w:rPr>
          <w:rStyle w:val="14"/>
        </w:rPr>
        <w:endnoteRef/>
      </w:r>
      <w:r>
        <w:rPr>
          <w:rStyle w:val="14"/>
        </w:rPr>
        <w:t>]</w:t>
      </w:r>
      <w:r>
        <w:t xml:space="preserve"> 张畅, 刘悦, (美) 杨溢著</w:t>
      </w:r>
      <w:r>
        <w:rPr>
          <w:rFonts w:hint="eastAsia"/>
        </w:rPr>
        <w:t>.比利时在天津的历史遗迹[M].北京：社会科学文献出版社.2023:268.</w:t>
      </w:r>
    </w:p>
  </w:endnote>
  <w:endnote w:id="60">
    <w:p w14:paraId="37F0B226">
      <w:pPr>
        <w:pStyle w:val="4"/>
        <w:ind w:firstLine="360"/>
        <w:rPr>
          <w:lang w:val="fr-CA"/>
        </w:rPr>
      </w:pPr>
      <w:r>
        <w:rPr>
          <w:rStyle w:val="14"/>
          <w:lang w:val="fr-CA"/>
        </w:rPr>
        <w:t>[</w:t>
      </w:r>
      <w:r>
        <w:rPr>
          <w:rStyle w:val="14"/>
        </w:rPr>
        <w:endnoteRef/>
      </w:r>
      <w:r>
        <w:rPr>
          <w:rStyle w:val="14"/>
          <w:lang w:val="fr-CA"/>
        </w:rPr>
        <w:t>]</w:t>
      </w:r>
      <w:r>
        <w:rPr>
          <w:lang w:val="fr-CA"/>
        </w:rPr>
        <w:t xml:space="preserve"> Thomas COOMANS &amp; Prudence LAU Leung-kwok </w:t>
      </w:r>
      <w:r>
        <w:t>劉亮國</w:t>
      </w:r>
      <w:r>
        <w:rPr>
          <w:lang w:val="fr-CA"/>
        </w:rPr>
        <w:t>, “Les tribulations d’un architecte belge en Chine : Gustave Volckaert, au service du Crédit Foncier d’Extrême-Orient, 1914-1954”, Revue Belge d’Archéologie et d’Histoire de l’Art / Belgisch Tijdschrift voor Oudheidkunde en Kunstgeschiedenis, 81, 2012, p. 129-153 [ISSN: 0035-077X]</w:t>
      </w:r>
    </w:p>
  </w:endnote>
  <w:endnote w:id="61">
    <w:p w14:paraId="38E075B2">
      <w:pPr>
        <w:pStyle w:val="4"/>
        <w:ind w:firstLine="360"/>
      </w:pPr>
      <w:r>
        <w:rPr>
          <w:rStyle w:val="14"/>
        </w:rPr>
        <w:t>[</w:t>
      </w:r>
      <w:r>
        <w:rPr>
          <w:rStyle w:val="14"/>
        </w:rPr>
        <w:endnoteRef/>
      </w:r>
      <w:r>
        <w:rPr>
          <w:rStyle w:val="14"/>
        </w:rPr>
        <w:t>]</w:t>
      </w:r>
      <w:r>
        <w:t xml:space="preserve"> </w:t>
      </w:r>
      <w:r>
        <w:rPr>
          <w:rFonts w:hint="eastAsia"/>
        </w:rPr>
        <w:t>汪晓茜.规训与调适——有关毕业于宾夕法尼亚大学的中国第一代建筑师实践的思考[J].建筑学报,2018,(08):91-97.</w:t>
      </w:r>
    </w:p>
  </w:endnote>
  <w:endnote w:id="62">
    <w:p w14:paraId="04DBE058">
      <w:pPr>
        <w:pStyle w:val="4"/>
        <w:ind w:firstLine="360"/>
      </w:pPr>
      <w:r>
        <w:rPr>
          <w:rStyle w:val="14"/>
        </w:rPr>
        <w:t>[</w:t>
      </w:r>
      <w:r>
        <w:rPr>
          <w:rStyle w:val="14"/>
        </w:rPr>
        <w:endnoteRef/>
      </w:r>
      <w:r>
        <w:rPr>
          <w:rStyle w:val="14"/>
        </w:rPr>
        <w:t>]</w:t>
      </w:r>
      <w:r>
        <w:t xml:space="preserve"> </w:t>
      </w:r>
      <w:r>
        <w:rPr>
          <w:rFonts w:hint="eastAsia"/>
        </w:rPr>
        <w:t>“两百人委员会”德语</w:t>
      </w:r>
      <w:r>
        <w:fldChar w:fldCharType="begin"/>
      </w:r>
      <w:r>
        <w:instrText xml:space="preserve"> HYPERLINK "https://en.wikipedia.org/wiki/German_language" \o "德语" </w:instrText>
      </w:r>
      <w:r>
        <w:fldChar w:fldCharType="separate"/>
      </w:r>
      <w:r>
        <w:t>：</w:t>
      </w:r>
      <w:r>
        <w:fldChar w:fldCharType="end"/>
      </w:r>
      <w:r>
        <w:t> Rat </w:t>
      </w:r>
      <w:r>
        <w:rPr>
          <w:lang w:val="de"/>
        </w:rPr>
        <w:t>der Zweihundert</w:t>
      </w:r>
      <w:r>
        <w:t>；</w:t>
      </w:r>
      <w:r>
        <w:fldChar w:fldCharType="begin"/>
      </w:r>
      <w:r>
        <w:instrText xml:space="preserve"> HYPERLINK "https://en.wikipedia.org/wiki/French_language" \o "法语" </w:instrText>
      </w:r>
      <w:r>
        <w:fldChar w:fldCharType="separate"/>
      </w:r>
      <w:r>
        <w:t>法语</w:t>
      </w:r>
      <w:r>
        <w:fldChar w:fldCharType="end"/>
      </w:r>
      <w:r>
        <w:t>：</w:t>
      </w:r>
      <w:r>
        <w:rPr>
          <w:rFonts w:hint="eastAsia"/>
        </w:rPr>
        <w:t>Conseil des Deux-Cents，最初是“大议会”（</w:t>
      </w:r>
      <w:r>
        <w:t>Grosser Rat或Grand Conseil ），是瑞士四个城市（</w:t>
      </w:r>
      <w:r>
        <w:fldChar w:fldCharType="begin"/>
      </w:r>
      <w:r>
        <w:instrText xml:space="preserve"> HYPERLINK "https://en.wikipedia.org/wiki/Z%C3%BCrich" \o "苏黎世" </w:instrText>
      </w:r>
      <w:r>
        <w:fldChar w:fldCharType="separate"/>
      </w:r>
      <w:r>
        <w:t>苏黎世</w:t>
      </w:r>
      <w:r>
        <w:fldChar w:fldCharType="end"/>
      </w:r>
      <w:r>
        <w:t>、</w:t>
      </w:r>
      <w:r>
        <w:fldChar w:fldCharType="begin"/>
      </w:r>
      <w:r>
        <w:instrText xml:space="preserve"> HYPERLINK "https://en.wikipedia.org/wiki/Bern" \o "伯尔尼" </w:instrText>
      </w:r>
      <w:r>
        <w:fldChar w:fldCharType="separate"/>
      </w:r>
      <w:r>
        <w:t>伯尔尼</w:t>
      </w:r>
      <w:r>
        <w:fldChar w:fldCharType="end"/>
      </w:r>
      <w:r>
        <w:t>、</w:t>
      </w:r>
      <w:r>
        <w:fldChar w:fldCharType="begin"/>
      </w:r>
      <w:r>
        <w:instrText xml:space="preserve"> HYPERLINK "https://en.wikipedia.org/wiki/Fribourg" \o "弗赖堡" </w:instrText>
      </w:r>
      <w:r>
        <w:fldChar w:fldCharType="separate"/>
      </w:r>
      <w:r>
        <w:t>弗里堡</w:t>
      </w:r>
      <w:r>
        <w:fldChar w:fldCharType="end"/>
      </w:r>
      <w:r>
        <w:t>、</w:t>
      </w:r>
      <w:r>
        <w:fldChar w:fldCharType="begin"/>
      </w:r>
      <w:r>
        <w:instrText xml:space="preserve"> HYPERLINK "https://en.wikipedia.org/wiki/Basel" \o "巴塞尔" </w:instrText>
      </w:r>
      <w:r>
        <w:fldChar w:fldCharType="separate"/>
      </w:r>
      <w:r>
        <w:t>巴塞尔</w:t>
      </w:r>
      <w:r>
        <w:fldChar w:fldCharType="end"/>
      </w:r>
      <w:r>
        <w:t>）的立法机构</w:t>
      </w:r>
      <w:r>
        <w:rPr>
          <w:rFonts w:hint="eastAsia"/>
        </w:rPr>
        <w:t>。1748年该委员会创立了日内瓦美术学院，当时名为绘画学院（ </w:t>
      </w:r>
      <w:r>
        <w:t>École de Dessein</w:t>
      </w:r>
      <w:r>
        <w:rPr>
          <w:rFonts w:hint="eastAsia"/>
        </w:rPr>
        <w:t>）。</w:t>
      </w:r>
    </w:p>
  </w:endnote>
  <w:endnote w:id="63">
    <w:p w14:paraId="2E23DBA4">
      <w:pPr>
        <w:pStyle w:val="4"/>
        <w:ind w:firstLine="360"/>
      </w:pPr>
      <w:r>
        <w:rPr>
          <w:rStyle w:val="14"/>
        </w:rPr>
        <w:t>[</w:t>
      </w:r>
      <w:r>
        <w:rPr>
          <w:rStyle w:val="14"/>
        </w:rPr>
        <w:endnoteRef/>
      </w:r>
      <w:r>
        <w:rPr>
          <w:rStyle w:val="14"/>
        </w:rPr>
        <w:t>]</w:t>
      </w:r>
      <w:r>
        <w:t xml:space="preserve"> </w:t>
      </w:r>
      <w:r>
        <w:rPr>
          <w:rFonts w:hint="eastAsia"/>
        </w:rPr>
        <w:t>徐苏斌,李天.巴黎美术学院派在天津法租界的影响——以法国建筑师门德尔松为例[J].建筑史,2015,(01):190-198.</w:t>
      </w:r>
    </w:p>
  </w:endnote>
  <w:endnote w:id="64">
    <w:p w14:paraId="3D83B0AE">
      <w:pPr>
        <w:pStyle w:val="4"/>
        <w:ind w:firstLine="360"/>
      </w:pPr>
      <w:r>
        <w:rPr>
          <w:rStyle w:val="14"/>
        </w:rPr>
        <w:t>[</w:t>
      </w:r>
      <w:r>
        <w:rPr>
          <w:rStyle w:val="14"/>
        </w:rPr>
        <w:endnoteRef/>
      </w:r>
      <w:r>
        <w:rPr>
          <w:rStyle w:val="14"/>
        </w:rPr>
        <w:t>]</w:t>
      </w:r>
      <w:r>
        <w:t xml:space="preserve"> </w:t>
      </w:r>
      <w:r>
        <w:rPr>
          <w:rFonts w:hint="eastAsia"/>
        </w:rPr>
        <w:t>义品公司母公司为巴黎国策地产公司，股东有巴黎荷兰银行、东方国际公司、东方汇理银行、巴黎联合银行、华比银行、布鲁塞尔银行等。</w:t>
      </w:r>
    </w:p>
  </w:endnote>
  <w:endnote w:id="65">
    <w:p w14:paraId="4C0792C5">
      <w:pPr>
        <w:pStyle w:val="4"/>
        <w:ind w:firstLine="360"/>
      </w:pPr>
      <w:r>
        <w:rPr>
          <w:rStyle w:val="14"/>
        </w:rPr>
        <w:t>[</w:t>
      </w:r>
      <w:r>
        <w:rPr>
          <w:rStyle w:val="14"/>
        </w:rPr>
        <w:endnoteRef/>
      </w:r>
      <w:r>
        <w:rPr>
          <w:rStyle w:val="14"/>
        </w:rPr>
        <w:t>]</w:t>
      </w:r>
      <w:r>
        <w:t xml:space="preserve"> </w:t>
      </w:r>
      <w:r>
        <w:rPr>
          <w:rFonts w:hint="eastAsia"/>
        </w:rPr>
        <w:t>例如建筑师查理和康沃西曾任多届法租界市政管理局董事会成员。</w:t>
      </w:r>
    </w:p>
  </w:endnote>
  <w:endnote w:id="66">
    <w:p w14:paraId="0BB4895A">
      <w:pPr>
        <w:pStyle w:val="4"/>
        <w:ind w:firstLine="360"/>
      </w:pPr>
      <w:r>
        <w:rPr>
          <w:rStyle w:val="14"/>
        </w:rPr>
        <w:t>[</w:t>
      </w:r>
      <w:r>
        <w:rPr>
          <w:rStyle w:val="14"/>
        </w:rPr>
        <w:endnoteRef/>
      </w:r>
      <w:r>
        <w:rPr>
          <w:rStyle w:val="14"/>
        </w:rPr>
        <w:t>]</w:t>
      </w:r>
      <w:r>
        <w:t xml:space="preserve"> </w:t>
      </w:r>
      <w:r>
        <w:rPr>
          <w:rFonts w:hint="eastAsia"/>
        </w:rPr>
        <w:t>杜小辉.天津义品公司研究[D].天津大学,2014.</w:t>
      </w:r>
    </w:p>
  </w:endnote>
  <w:endnote w:id="67">
    <w:p w14:paraId="74EC18E5">
      <w:pPr>
        <w:pStyle w:val="4"/>
        <w:ind w:firstLine="360"/>
      </w:pPr>
      <w:r>
        <w:rPr>
          <w:rStyle w:val="14"/>
          <w:lang w:val="fr-CA"/>
        </w:rPr>
        <w:t>[</w:t>
      </w:r>
      <w:r>
        <w:rPr>
          <w:rStyle w:val="14"/>
        </w:rPr>
        <w:endnoteRef/>
      </w:r>
      <w:r>
        <w:rPr>
          <w:rStyle w:val="14"/>
          <w:lang w:val="fr-CA"/>
        </w:rPr>
        <w:t>]</w:t>
      </w:r>
      <w:r>
        <w:rPr>
          <w:lang w:val="fr-CA"/>
        </w:rPr>
        <w:t xml:space="preserve"> </w:t>
      </w:r>
      <w:r>
        <w:rPr>
          <w:rFonts w:hint="eastAsia"/>
          <w:lang w:val="fr-CA"/>
        </w:rPr>
        <w:t>Archives de l'État en Belgique.Inventaire des archives du Crédit foncierd'Extrême-Orient et de sa filiale, la Société Hypothécaire de Tanger (1907 - 1991). 1048.</w:t>
      </w:r>
    </w:p>
  </w:endnote>
  <w:endnote w:id="68">
    <w:p w14:paraId="17B5099D">
      <w:pPr>
        <w:pStyle w:val="4"/>
        <w:ind w:firstLine="360"/>
      </w:pPr>
      <w:r>
        <w:rPr>
          <w:rStyle w:val="14"/>
        </w:rPr>
        <w:t>[</w:t>
      </w:r>
      <w:r>
        <w:rPr>
          <w:rStyle w:val="14"/>
        </w:rPr>
        <w:endnoteRef/>
      </w:r>
      <w:r>
        <w:rPr>
          <w:rStyle w:val="14"/>
        </w:rPr>
        <w:t>]</w:t>
      </w:r>
      <w:r>
        <w:t xml:space="preserve"> </w:t>
      </w:r>
      <w:r>
        <w:rPr>
          <w:rFonts w:hint="eastAsia"/>
        </w:rPr>
        <w:t>武求实.法籍天津近代建筑师保罗·慕乐研究[D].天津大学,2012.</w:t>
      </w:r>
    </w:p>
  </w:endnote>
  <w:endnote w:id="69">
    <w:p w14:paraId="73DC9F37">
      <w:pPr>
        <w:pStyle w:val="4"/>
        <w:ind w:firstLine="360"/>
      </w:pPr>
      <w:r>
        <w:rPr>
          <w:rStyle w:val="14"/>
        </w:rPr>
        <w:t>[</w:t>
      </w:r>
      <w:r>
        <w:rPr>
          <w:rStyle w:val="14"/>
        </w:rPr>
        <w:endnoteRef/>
      </w:r>
      <w:r>
        <w:rPr>
          <w:rStyle w:val="14"/>
        </w:rPr>
        <w:t>]</w:t>
      </w:r>
      <w:r>
        <w:t xml:space="preserve"> </w:t>
      </w:r>
      <w:r>
        <w:rPr>
          <w:spacing w:val="-5"/>
        </w:rPr>
        <w:t>参赛者包括</w:t>
      </w:r>
      <w:r>
        <w:rPr>
          <w:rFonts w:hint="eastAsia"/>
          <w:spacing w:val="-5"/>
        </w:rPr>
        <w:t>罗什（</w:t>
      </w:r>
      <w:r>
        <w:rPr>
          <w:spacing w:val="-5"/>
        </w:rPr>
        <w:t>Rouch</w:t>
      </w:r>
      <w:r>
        <w:rPr>
          <w:rFonts w:hint="eastAsia"/>
          <w:spacing w:val="-5"/>
        </w:rPr>
        <w:t>）</w:t>
      </w:r>
      <w:r>
        <w:rPr>
          <w:spacing w:val="-5"/>
        </w:rPr>
        <w:t>（Eteblissements Arnoult 的工程师兼</w:t>
      </w:r>
      <w:r>
        <w:rPr>
          <w:rFonts w:hint="eastAsia"/>
          <w:spacing w:val="-5"/>
        </w:rPr>
        <w:t>董事</w:t>
      </w:r>
      <w:r>
        <w:rPr>
          <w:spacing w:val="-5"/>
        </w:rPr>
        <w:t>）、</w:t>
      </w:r>
      <w:r>
        <w:rPr>
          <w:rFonts w:hint="eastAsia"/>
          <w:spacing w:val="-5"/>
        </w:rPr>
        <w:t>慕乐（Muller）</w:t>
      </w:r>
      <w:r>
        <w:rPr>
          <w:spacing w:val="-5"/>
        </w:rPr>
        <w:t>（Etablissements Brossard-Mopin 的建筑师）和</w:t>
      </w:r>
      <w:r>
        <w:rPr>
          <w:rFonts w:hint="eastAsia"/>
          <w:spacing w:val="-5"/>
        </w:rPr>
        <w:t>门德尔松（</w:t>
      </w:r>
      <w:r>
        <w:rPr>
          <w:spacing w:val="-5"/>
        </w:rPr>
        <w:t>Mendelssohn</w:t>
      </w:r>
      <w:r>
        <w:rPr>
          <w:rFonts w:hint="eastAsia"/>
          <w:spacing w:val="-5"/>
        </w:rPr>
        <w:t>）（义品公司</w:t>
      </w:r>
      <w:r>
        <w:rPr>
          <w:spacing w:val="-5"/>
        </w:rPr>
        <w:t>建筑师</w:t>
      </w:r>
      <w:r>
        <w:rPr>
          <w:rFonts w:hint="eastAsia"/>
          <w:spacing w:val="-5"/>
        </w:rPr>
        <w:t>）</w:t>
      </w:r>
      <w:r>
        <w:rPr>
          <w:spacing w:val="-5"/>
        </w:rPr>
        <w:t>。</w:t>
      </w:r>
      <w:r>
        <w:rPr>
          <w:rFonts w:hint="eastAsia"/>
          <w:spacing w:val="-5"/>
        </w:rPr>
        <w:t>参见</w:t>
      </w:r>
      <w:r>
        <w:rPr>
          <w:rFonts w:hint="eastAsia"/>
          <w:lang w:val="fr-CA"/>
        </w:rPr>
        <w:t xml:space="preserve">Archives de l'État en Belgique.Inventaire des archives du Crédit foncierd'Extrême-Orient et de sa filiale, la Société Hypothécaire de Tanger (1907 - 1991). </w:t>
      </w:r>
      <w:r>
        <w:rPr>
          <w:rFonts w:hint="eastAsia"/>
        </w:rPr>
        <w:t>1096.</w:t>
      </w:r>
    </w:p>
  </w:endnote>
  <w:endnote w:id="70">
    <w:p w14:paraId="273FECB7">
      <w:pPr>
        <w:autoSpaceDE w:val="0"/>
        <w:autoSpaceDN w:val="0"/>
        <w:adjustRightInd w:val="0"/>
        <w:spacing w:line="220" w:lineRule="exact"/>
        <w:ind w:firstLine="360"/>
      </w:pPr>
      <w:r>
        <w:rPr>
          <w:rStyle w:val="14"/>
          <w:sz w:val="18"/>
        </w:rPr>
        <w:t>[</w:t>
      </w:r>
      <w:r>
        <w:rPr>
          <w:rStyle w:val="14"/>
          <w:sz w:val="18"/>
        </w:rPr>
        <w:endnoteRef/>
      </w:r>
      <w:r>
        <w:rPr>
          <w:rStyle w:val="14"/>
          <w:sz w:val="18"/>
        </w:rPr>
        <w:t>]</w:t>
      </w:r>
      <w:r>
        <w:t xml:space="preserve"> </w:t>
      </w:r>
      <w:r>
        <w:rPr>
          <w:spacing w:val="-5"/>
          <w:sz w:val="18"/>
        </w:rPr>
        <w:t>公会堂（Public  Hall）是进行演讲、辩论的公共活动场所，是日本大正时期兴起用于市民教育的文化类建筑，在日本被视为大正民主精神的象征。原本于 1907 年委托工学士真水英夫设计的大和公园内公会堂和租界局，因大木谦吉的建议被暂时搁置建设，历经 6 年后，在 1913 年的会议上，天津居留民团行政委员会再度提出建设民团事务所、公会堂、图书馆、俱乐部，在不改变原有设计方案的基础上，公开悬赏竞标该建筑实施方案并于同年开始建设。</w:t>
      </w:r>
      <w:r>
        <w:rPr>
          <w:rFonts w:hint="eastAsia"/>
          <w:spacing w:val="-5"/>
          <w:sz w:val="18"/>
        </w:rPr>
        <w:t xml:space="preserve">参见Aoki Nobuo, Maria Gravari-Barbas,Christine Mengin, Xu Subin，Tianjin, transferts mondiaux et appropriations locales. Architecture et aménagement urbain dans la Chine moderne[M]. </w:t>
      </w:r>
      <w:r>
        <w:rPr>
          <w:spacing w:val="-5"/>
          <w:sz w:val="18"/>
        </w:rPr>
        <w:t>É</w:t>
      </w:r>
      <w:r>
        <w:rPr>
          <w:rFonts w:hint="eastAsia"/>
          <w:spacing w:val="-5"/>
          <w:sz w:val="18"/>
        </w:rPr>
        <w:t>dition de la Sorbonne，2023：336.</w:t>
      </w:r>
    </w:p>
  </w:endnote>
  <w:endnote w:id="71">
    <w:p w14:paraId="01DFE24A">
      <w:pPr>
        <w:pStyle w:val="4"/>
        <w:ind w:firstLine="360"/>
        <w:rPr>
          <w:lang w:val="fr-CA"/>
        </w:rPr>
      </w:pPr>
      <w:r>
        <w:rPr>
          <w:rStyle w:val="14"/>
        </w:rPr>
        <w:t>[</w:t>
      </w:r>
      <w:r>
        <w:rPr>
          <w:rStyle w:val="14"/>
        </w:rPr>
        <w:endnoteRef/>
      </w:r>
      <w:r>
        <w:rPr>
          <w:rStyle w:val="14"/>
        </w:rPr>
        <w:t>]</w:t>
      </w:r>
      <w:r>
        <w:t xml:space="preserve"> </w:t>
      </w:r>
      <w:r>
        <w:rPr>
          <w:spacing w:val="-5"/>
        </w:rPr>
        <w:t>越来越多的设计师参与到工部局项目的设计中。工程直接由意大利当局管理，并按照天津、北京和罗</w:t>
      </w:r>
      <w:r>
        <w:rPr>
          <w:spacing w:val="-4"/>
        </w:rPr>
        <w:t>马之间的三角形等级进行组织，现场做出的每个决定必须经过两个上级的批准</w:t>
      </w:r>
      <w:r>
        <w:rPr>
          <w:rFonts w:hint="eastAsia"/>
          <w:spacing w:val="-4"/>
        </w:rPr>
        <w:t>......</w:t>
      </w:r>
      <w:r>
        <w:rPr>
          <w:spacing w:val="-5"/>
        </w:rPr>
        <w:t>共有四家意大利公司参与了项目招标</w:t>
      </w:r>
      <w:r>
        <w:rPr>
          <w:rFonts w:hint="eastAsia"/>
          <w:spacing w:val="-5"/>
        </w:rPr>
        <w:t xml:space="preserve">。参见Aoki Nobuo, Maria Gravari-Barbas,Christine Mengin, Xu Subin，Tianjin, transferts mondiaux et appropriations locales. </w:t>
      </w:r>
      <w:r>
        <w:rPr>
          <w:rFonts w:hint="eastAsia"/>
          <w:spacing w:val="-5"/>
          <w:lang w:val="fr-CA"/>
        </w:rPr>
        <w:t xml:space="preserve">Architecture et aménagement urbain dans la Chine moderne[M]. </w:t>
      </w:r>
      <w:r>
        <w:rPr>
          <w:spacing w:val="-5"/>
          <w:lang w:val="fr-CA"/>
        </w:rPr>
        <w:t>É</w:t>
      </w:r>
      <w:r>
        <w:rPr>
          <w:rFonts w:hint="eastAsia"/>
          <w:spacing w:val="-5"/>
          <w:lang w:val="fr-CA"/>
        </w:rPr>
        <w:t>dition de la Sorbonne，2023：358.</w:t>
      </w:r>
    </w:p>
  </w:endnote>
  <w:endnote w:id="72">
    <w:p w14:paraId="6CFCB6E6">
      <w:pPr>
        <w:pStyle w:val="4"/>
        <w:ind w:firstLine="360"/>
      </w:pPr>
      <w:r>
        <w:rPr>
          <w:rStyle w:val="14"/>
          <w:lang w:val="fr-CA"/>
        </w:rPr>
        <w:t>[</w:t>
      </w:r>
      <w:r>
        <w:rPr>
          <w:rStyle w:val="14"/>
        </w:rPr>
        <w:endnoteRef/>
      </w:r>
      <w:r>
        <w:rPr>
          <w:rStyle w:val="14"/>
          <w:lang w:val="fr-CA"/>
        </w:rPr>
        <w:t>]</w:t>
      </w:r>
      <w:r>
        <w:rPr>
          <w:rFonts w:hint="eastAsia"/>
        </w:rPr>
        <w:t>上海法租界公董局关于新大厦建筑设计图样竞选问题的文件</w:t>
      </w:r>
      <w:r>
        <w:rPr>
          <w:rFonts w:hint="eastAsia"/>
          <w:lang w:val="fr-CA"/>
        </w:rPr>
        <w:t>（</w:t>
      </w:r>
      <w:r>
        <w:rPr>
          <w:rFonts w:hint="eastAsia"/>
        </w:rPr>
        <w:t>一</w:t>
      </w:r>
      <w:r>
        <w:rPr>
          <w:rFonts w:hint="eastAsia"/>
          <w:lang w:val="fr-CA"/>
        </w:rPr>
        <w:t>）  1934</w:t>
      </w:r>
      <w:r>
        <w:rPr>
          <w:rFonts w:hint="eastAsia"/>
        </w:rPr>
        <w:t>年由市政委员会决定</w:t>
      </w:r>
      <w:r>
        <w:rPr>
          <w:rFonts w:hint="eastAsia"/>
          <w:lang w:val="fr-CA"/>
        </w:rPr>
        <w:t>，</w:t>
      </w:r>
      <w:r>
        <w:rPr>
          <w:rFonts w:hint="eastAsia"/>
        </w:rPr>
        <w:t>联合法国职业建筑师协会</w:t>
      </w:r>
      <w:r>
        <w:rPr>
          <w:rFonts w:hint="eastAsia"/>
          <w:lang w:val="fr-CA"/>
        </w:rPr>
        <w:t>（Société des Architectes Diplômés）</w:t>
      </w:r>
      <w:r>
        <w:rPr>
          <w:rFonts w:hint="eastAsia"/>
        </w:rPr>
        <w:t>和法国建筑师中央协会</w:t>
      </w:r>
      <w:r>
        <w:rPr>
          <w:rFonts w:hint="eastAsia"/>
          <w:lang w:val="fr-CA"/>
        </w:rPr>
        <w:t>（Société Centrale des Architectes de France）</w:t>
      </w:r>
      <w:r>
        <w:rPr>
          <w:rFonts w:hint="eastAsia"/>
        </w:rPr>
        <w:t>举办。参见上海市档案馆，</w:t>
      </w:r>
      <w:r>
        <w:t>U038-001-01114</w:t>
      </w:r>
      <w:r>
        <w:rPr>
          <w:rFonts w:hint="eastAsia"/>
        </w:rPr>
        <w:t>.</w:t>
      </w:r>
    </w:p>
  </w:endnote>
  <w:endnote w:id="73">
    <w:p w14:paraId="5CFB3427">
      <w:pPr>
        <w:pStyle w:val="4"/>
        <w:ind w:firstLine="360"/>
      </w:pPr>
      <w:r>
        <w:rPr>
          <w:rStyle w:val="14"/>
        </w:rPr>
        <w:t>[</w:t>
      </w:r>
      <w:r>
        <w:rPr>
          <w:rStyle w:val="14"/>
        </w:rPr>
        <w:endnoteRef/>
      </w:r>
      <w:r>
        <w:rPr>
          <w:rStyle w:val="14"/>
        </w:rPr>
        <w:t>]</w:t>
      </w:r>
      <w:r>
        <w:t xml:space="preserve"> </w:t>
      </w:r>
      <w:r>
        <w:rPr>
          <w:rFonts w:hint="eastAsia"/>
        </w:rPr>
        <w:t>自17世纪巴黎美院成立以来，它的项目就围绕一系列匿名竞赛展开。1793年法国大革命期间，早期的皇家学院奖（Académie Royale）和皇家学院大奖赛（grand prix de l'Académie Royale）废除，1797年重新设立罗马大奖赛（Prix de Rome），直至19世纪都以罗马大奖赛为艺术创作的最高荣誉，获奖者由巴黎美院提供经费，在罗马寓居五年以潜心研究建筑，例如1823年获奖者菲利斯.杜邦（</w:t>
      </w:r>
      <w:r>
        <w:rPr>
          <w:rFonts w:hint="eastAsia" w:ascii="微软雅黑" w:hAnsi="微软雅黑" w:eastAsia="微软雅黑" w:cs="微软雅黑"/>
          <w:sz w:val="16"/>
          <w:szCs w:val="16"/>
          <w:shd w:val="clear" w:color="auto" w:fill="FFFFFF"/>
        </w:rPr>
        <w:t>Félix Duban</w:t>
      </w:r>
      <w:r>
        <w:rPr>
          <w:rFonts w:hint="eastAsia"/>
        </w:rPr>
        <w:t>），归来后设计了巴黎美院主楼并完成了校园的改造。</w:t>
      </w:r>
    </w:p>
  </w:endnote>
  <w:endnote w:id="74">
    <w:p w14:paraId="023EA080">
      <w:pPr>
        <w:pStyle w:val="4"/>
        <w:ind w:firstLine="360"/>
      </w:pPr>
      <w:r>
        <w:rPr>
          <w:rStyle w:val="14"/>
        </w:rPr>
        <w:t>[</w:t>
      </w:r>
      <w:r>
        <w:rPr>
          <w:rStyle w:val="14"/>
        </w:rPr>
        <w:endnoteRef/>
      </w:r>
      <w:r>
        <w:rPr>
          <w:rStyle w:val="14"/>
        </w:rPr>
        <w:t>]</w:t>
      </w:r>
      <w:r>
        <w:t xml:space="preserve"> </w:t>
      </w:r>
      <w:r>
        <w:rPr>
          <w:rFonts w:hint="eastAsia"/>
        </w:rPr>
        <w:t>天津档案馆,南开大学分校档案系.天津租界档案选编[M].天津市:天津市人民出版社，1992:144</w:t>
      </w:r>
    </w:p>
  </w:endnote>
  <w:endnote w:id="75">
    <w:p w14:paraId="3AAF34A4">
      <w:pPr>
        <w:pStyle w:val="4"/>
        <w:ind w:firstLine="360"/>
      </w:pPr>
      <w:r>
        <w:rPr>
          <w:rStyle w:val="14"/>
        </w:rPr>
        <w:t>[</w:t>
      </w:r>
      <w:r>
        <w:rPr>
          <w:rStyle w:val="14"/>
        </w:rPr>
        <w:endnoteRef/>
      </w:r>
      <w:r>
        <w:rPr>
          <w:rStyle w:val="14"/>
        </w:rPr>
        <w:t>]</w:t>
      </w:r>
      <w:r>
        <w:t xml:space="preserve"> 张畅, 刘悦, (美) 杨溢著</w:t>
      </w:r>
      <w:r>
        <w:rPr>
          <w:rFonts w:hint="eastAsia"/>
        </w:rPr>
        <w:t>.比利时在天津的历史遗迹[M].北京：社会科学文献出版社.2023:267.</w:t>
      </w:r>
    </w:p>
  </w:endnote>
  <w:endnote w:id="76">
    <w:p w14:paraId="7D2E415F">
      <w:pPr>
        <w:pStyle w:val="4"/>
        <w:ind w:firstLine="360"/>
      </w:pPr>
      <w:r>
        <w:rPr>
          <w:rStyle w:val="14"/>
        </w:rPr>
        <w:t>[</w:t>
      </w:r>
      <w:r>
        <w:rPr>
          <w:rStyle w:val="14"/>
        </w:rPr>
        <w:endnoteRef/>
      </w:r>
      <w:r>
        <w:rPr>
          <w:rStyle w:val="14"/>
        </w:rPr>
        <w:t>]</w:t>
      </w:r>
      <w:r>
        <w:t xml:space="preserve"> </w:t>
      </w:r>
      <w:r>
        <w:rPr>
          <w:rFonts w:hint="eastAsia"/>
        </w:rPr>
        <w:t>杜小辉.天津义品公司研究[D].天津大学,2014.</w:t>
      </w:r>
    </w:p>
  </w:endnote>
  <w:endnote w:id="77">
    <w:p w14:paraId="7E4EF733">
      <w:pPr>
        <w:pStyle w:val="4"/>
        <w:ind w:firstLine="360"/>
      </w:pPr>
      <w:r>
        <w:rPr>
          <w:rStyle w:val="14"/>
        </w:rPr>
        <w:t>[</w:t>
      </w:r>
      <w:r>
        <w:rPr>
          <w:rStyle w:val="14"/>
        </w:rPr>
        <w:endnoteRef/>
      </w:r>
      <w:r>
        <w:rPr>
          <w:rStyle w:val="14"/>
        </w:rPr>
        <w:t>]</w:t>
      </w:r>
      <w:r>
        <w:t xml:space="preserve"> </w:t>
      </w:r>
      <w:r>
        <w:rPr>
          <w:rFonts w:hint="eastAsia"/>
        </w:rPr>
        <w:t>直至1935年天津市已有77家营造厂登记在录，其中有24家在租界内。（根据《1935年天津市工务局业务报告》统计）</w:t>
      </w:r>
    </w:p>
  </w:endnote>
  <w:endnote w:id="78">
    <w:p w14:paraId="15509154">
      <w:pPr>
        <w:pStyle w:val="4"/>
        <w:ind w:firstLine="360"/>
      </w:pPr>
      <w:r>
        <w:rPr>
          <w:rStyle w:val="14"/>
        </w:rPr>
        <w:t>[</w:t>
      </w:r>
      <w:r>
        <w:rPr>
          <w:rStyle w:val="14"/>
        </w:rPr>
        <w:endnoteRef/>
      </w:r>
      <w:r>
        <w:rPr>
          <w:rStyle w:val="14"/>
        </w:rPr>
        <w:t>]</w:t>
      </w:r>
      <w:r>
        <w:t xml:space="preserve"> </w:t>
      </w:r>
      <w:r>
        <w:rPr>
          <w:rFonts w:hint="eastAsia"/>
        </w:rPr>
        <w:t>高仲林主编.天津近代建筑[M].天津：天津科学技术出版社.1990.4:105</w:t>
      </w:r>
    </w:p>
  </w:endnote>
  <w:endnote w:id="79">
    <w:p w14:paraId="70750E27">
      <w:pPr>
        <w:pStyle w:val="4"/>
        <w:ind w:firstLine="360"/>
      </w:pPr>
      <w:r>
        <w:rPr>
          <w:rStyle w:val="14"/>
        </w:rPr>
        <w:t>[</w:t>
      </w:r>
      <w:r>
        <w:rPr>
          <w:rStyle w:val="14"/>
        </w:rPr>
        <w:endnoteRef/>
      </w:r>
      <w:r>
        <w:rPr>
          <w:rStyle w:val="14"/>
        </w:rPr>
        <w:t>]</w:t>
      </w:r>
      <w:r>
        <w:t xml:space="preserve"> </w:t>
      </w:r>
      <w:r>
        <w:rPr>
          <w:rFonts w:hint="eastAsia"/>
        </w:rPr>
        <w:t>以西方古典构图理论为基础，建筑教学中开始运用“西古构”的法则（如比例、尺度等）对中国民族形式进行探讨，发展出“中国古典构图”一题（简称“中古构”）。参见汪妍泽,单踊.布扎“构图”中国化历程研究[J].新建筑,2017,(02):110-113.</w:t>
      </w:r>
    </w:p>
  </w:endnote>
  <w:endnote w:id="80">
    <w:p w14:paraId="2216316A">
      <w:pPr>
        <w:pStyle w:val="4"/>
        <w:ind w:firstLine="360"/>
      </w:pPr>
      <w:r>
        <w:rPr>
          <w:rStyle w:val="14"/>
        </w:rPr>
        <w:t>[</w:t>
      </w:r>
      <w:r>
        <w:rPr>
          <w:rStyle w:val="14"/>
        </w:rPr>
        <w:endnoteRef/>
      </w:r>
      <w:r>
        <w:rPr>
          <w:rStyle w:val="14"/>
        </w:rPr>
        <w:t>]</w:t>
      </w:r>
      <w:r>
        <w:t xml:space="preserve"> </w:t>
      </w:r>
      <w:r>
        <w:rPr>
          <w:rFonts w:hint="eastAsia"/>
        </w:rPr>
        <w:t>汪妍泽,单踊.还原布扎一种现代建筑思想的批判呈现[J].时代建筑,2018,(06):24-30.</w:t>
      </w:r>
    </w:p>
  </w:endnote>
  <w:endnote w:id="81">
    <w:p w14:paraId="21DCD3ED">
      <w:pPr>
        <w:pStyle w:val="4"/>
        <w:ind w:firstLine="360"/>
      </w:pPr>
      <w:r>
        <w:rPr>
          <w:rStyle w:val="14"/>
        </w:rPr>
        <w:t>[</w:t>
      </w:r>
      <w:r>
        <w:rPr>
          <w:rStyle w:val="14"/>
        </w:rPr>
        <w:endnoteRef/>
      </w:r>
      <w:r>
        <w:rPr>
          <w:rStyle w:val="14"/>
        </w:rPr>
        <w:t>]</w:t>
      </w:r>
      <w:r>
        <w:t xml:space="preserve"> </w:t>
      </w:r>
      <w:r>
        <w:rPr>
          <w:rFonts w:hint="eastAsia"/>
        </w:rPr>
        <w:t>戴维·凡·赞腾,张洁.究竟何为布扎建筑构成?[J].时代建筑,2018,(06):42-47.</w:t>
      </w:r>
    </w:p>
  </w:endnote>
  <w:endnote w:id="82">
    <w:p w14:paraId="248AA7D9">
      <w:pPr>
        <w:pStyle w:val="4"/>
        <w:ind w:firstLine="360"/>
      </w:pPr>
      <w:r>
        <w:rPr>
          <w:rStyle w:val="14"/>
        </w:rPr>
        <w:t>[</w:t>
      </w:r>
      <w:r>
        <w:rPr>
          <w:rStyle w:val="14"/>
        </w:rPr>
        <w:endnoteRef/>
      </w:r>
      <w:r>
        <w:rPr>
          <w:rStyle w:val="14"/>
        </w:rPr>
        <w:t>]</w:t>
      </w:r>
      <w:r>
        <w:t xml:space="preserve"> </w:t>
      </w:r>
      <w:r>
        <w:rPr>
          <w:rFonts w:hint="eastAsia"/>
        </w:rPr>
        <w:t>戴维·凡·赞腾,张洁.究竟何为布扎建筑构成?[J].时代建筑,2018,(06):42-47.</w:t>
      </w:r>
    </w:p>
    <w:p w14:paraId="7655EFAB">
      <w:pPr>
        <w:pStyle w:val="4"/>
        <w:ind w:firstLine="360"/>
      </w:pPr>
    </w:p>
    <w:p w14:paraId="59D86A08">
      <w:pPr>
        <w:pStyle w:val="4"/>
        <w:ind w:firstLine="0" w:firstLineChars="0"/>
      </w:pPr>
      <w:r>
        <w:rPr>
          <w:rFonts w:hint="eastAsia"/>
        </w:rPr>
        <w:t>参考文献</w:t>
      </w:r>
    </w:p>
    <w:p w14:paraId="5E6898EF">
      <w:pPr>
        <w:pStyle w:val="4"/>
        <w:ind w:firstLine="0" w:firstLineChars="0"/>
      </w:pPr>
      <w:r>
        <w:rPr>
          <w:rFonts w:hint="eastAsia"/>
        </w:rPr>
        <w:t>[1] 赖德霖，伍江，徐苏斌.中国近代建筑史(第一卷)[M].北京：中国建筑工业出版社.2016.</w:t>
      </w:r>
    </w:p>
    <w:p w14:paraId="6DBFF578">
      <w:pPr>
        <w:pStyle w:val="4"/>
        <w:ind w:firstLine="0" w:firstLineChars="0"/>
        <w:rPr>
          <w:rFonts w:hint="eastAsia" w:ascii="华文细黑" w:hAnsi="华文细黑" w:eastAsia="华文细黑" w:cs="华文细黑"/>
          <w:b/>
          <w:bCs/>
        </w:rPr>
      </w:pPr>
      <w:r>
        <w:rPr>
          <w:rFonts w:hint="eastAsia"/>
        </w:rPr>
        <w:t>[2] 费成康.中国租界通史[M].上海：上海社会科学院出版社.2024.</w:t>
      </w:r>
    </w:p>
    <w:p w14:paraId="7838E4F7">
      <w:pPr>
        <w:pStyle w:val="4"/>
        <w:ind w:firstLine="0" w:firstLineChars="0"/>
        <w:rPr>
          <w:rFonts w:hint="eastAsia" w:ascii="华文细黑" w:hAnsi="华文细黑" w:eastAsia="华文细黑" w:cs="华文细黑"/>
          <w:b/>
          <w:bCs/>
        </w:rPr>
      </w:pPr>
      <w:r>
        <w:rPr>
          <w:rFonts w:hint="eastAsia"/>
        </w:rPr>
        <w:t>[3] Kruft H W .A History of Architectural Theory - From Vitruvius to the Present[J].Zwemmer New York, 1994.</w:t>
      </w:r>
    </w:p>
    <w:p w14:paraId="39B4D8FC">
      <w:pPr>
        <w:pStyle w:val="4"/>
        <w:ind w:firstLine="0" w:firstLineChars="0"/>
        <w:rPr>
          <w:rFonts w:hint="eastAsia" w:ascii="华文细黑" w:hAnsi="华文细黑" w:eastAsia="华文细黑" w:cs="华文细黑"/>
          <w:b/>
          <w:bCs/>
        </w:rPr>
      </w:pPr>
      <w:r>
        <w:rPr>
          <w:rFonts w:hint="eastAsia"/>
        </w:rPr>
        <w:t xml:space="preserve">[4]  </w:t>
      </w:r>
      <w:r>
        <w:t>Caves, Roger W. </w:t>
      </w:r>
      <w:r>
        <w:rPr>
          <w:i/>
          <w:iCs/>
        </w:rPr>
        <w:t>Encyclopedia of the City</w:t>
      </w:r>
      <w:r>
        <w:t>. Routledge, 2004</w:t>
      </w:r>
      <w:r>
        <w:rPr>
          <w:rFonts w:hint="eastAsia"/>
        </w:rPr>
        <w:t>.</w:t>
      </w:r>
    </w:p>
    <w:p w14:paraId="69F4FBC2">
      <w:pPr>
        <w:pStyle w:val="4"/>
        <w:ind w:firstLine="0" w:firstLineChars="0"/>
      </w:pPr>
      <w:r>
        <w:rPr>
          <w:rFonts w:hint="eastAsia"/>
        </w:rPr>
        <w:t>[5] 汪晓茜.规训与调适——有关毕业于宾夕法尼亚大学的中国第一代建筑师实践的思考[J].建筑学报,2018,(08):91-97.</w:t>
      </w:r>
    </w:p>
    <w:p w14:paraId="766B34DD">
      <w:pPr>
        <w:pStyle w:val="4"/>
        <w:ind w:firstLine="0" w:firstLineChars="0"/>
      </w:pPr>
      <w:r>
        <w:rPr>
          <w:rFonts w:hint="eastAsia"/>
        </w:rPr>
        <w:t xml:space="preserve">[6] 薛颖.美国布扎教育对中国第一代建筑师的影响——以康奈尔大学吕彦直、杨锡宗为例[J].南方建筑,2020,(01):20-27. </w:t>
      </w:r>
    </w:p>
    <w:p w14:paraId="09D7F800">
      <w:pPr>
        <w:pStyle w:val="4"/>
        <w:ind w:firstLine="0" w:firstLineChars="0"/>
      </w:pPr>
      <w:r>
        <w:rPr>
          <w:rFonts w:hint="eastAsia"/>
        </w:rPr>
        <w:t>[7] 赖德霖.业师和雇主眼中的吕彦直——一份1928年的珍贵史料[J].建筑师,2024,(03):133-136.</w:t>
      </w:r>
    </w:p>
    <w:p w14:paraId="3D51D943">
      <w:pPr>
        <w:pStyle w:val="4"/>
        <w:ind w:firstLine="0" w:firstLineChars="0"/>
      </w:pPr>
      <w:r>
        <w:rPr>
          <w:rFonts w:hint="eastAsia"/>
        </w:rPr>
        <w:t xml:space="preserve">[8] 钱锋,王森民.20世纪20年代美国宾夕法尼亚大学建筑设计教育及其在中国的移植与转化以之江大学建筑系为例[J].时代建筑,2019,(02):160-165. </w:t>
      </w:r>
    </w:p>
    <w:p w14:paraId="0808C133">
      <w:pPr>
        <w:pStyle w:val="4"/>
        <w:ind w:firstLine="0" w:firstLineChars="0"/>
      </w:pPr>
      <w:r>
        <w:rPr>
          <w:rFonts w:hint="eastAsia"/>
        </w:rPr>
        <w:t>[9] 汪妍泽,单踊.20世纪70年代美国布扎研究复兴浅析[J].建筑师,2017,(01):45-50.</w:t>
      </w:r>
    </w:p>
    <w:p w14:paraId="52E87D8B">
      <w:pPr>
        <w:pStyle w:val="4"/>
        <w:ind w:firstLine="0" w:firstLineChars="0"/>
      </w:pPr>
      <w:r>
        <w:rPr>
          <w:rFonts w:hint="eastAsia"/>
        </w:rPr>
        <w:t xml:space="preserve">[10] 顾大庆.“布扎”,归根到底是一所美术学校[J].时代建筑,2018,(06):18-23. </w:t>
      </w:r>
    </w:p>
    <w:p w14:paraId="3C252A4B">
      <w:pPr>
        <w:pStyle w:val="4"/>
        <w:ind w:firstLine="0" w:firstLineChars="0"/>
      </w:pPr>
      <w:r>
        <w:rPr>
          <w:rFonts w:hint="eastAsia"/>
        </w:rPr>
        <w:t>[11] 菲利普·杰奎琳.20世纪初巴黎美院在中国的影响与认同[J].美术,2023,(02):76-86.</w:t>
      </w:r>
    </w:p>
    <w:p w14:paraId="78D44F31">
      <w:pPr>
        <w:pStyle w:val="4"/>
        <w:ind w:firstLine="0" w:firstLineChars="0"/>
      </w:pPr>
      <w:r>
        <w:rPr>
          <w:rFonts w:hint="eastAsia"/>
        </w:rPr>
        <w:t>[12] 徐亮,顾大庆.布扎的“分解构图”及其在中国建筑教育中的移植和衰变[J].建筑师,2019,(02):89-98.</w:t>
      </w:r>
    </w:p>
    <w:p w14:paraId="03EF03BD">
      <w:pPr>
        <w:pStyle w:val="4"/>
        <w:ind w:firstLine="0" w:firstLineChars="0"/>
      </w:pPr>
      <w:r>
        <w:rPr>
          <w:rFonts w:hint="eastAsia"/>
        </w:rPr>
        <w:t xml:space="preserve">[13] 汪妍泽,单踊.布扎“构图”中国化历程研究[J].新建筑,2017,(02):110-113. </w:t>
      </w:r>
    </w:p>
    <w:p w14:paraId="036F23BC">
      <w:pPr>
        <w:pStyle w:val="4"/>
        <w:ind w:firstLine="0" w:firstLineChars="0"/>
      </w:pPr>
      <w:r>
        <w:rPr>
          <w:rFonts w:hint="eastAsia"/>
        </w:rPr>
        <w:t>[14] 赵辰.失之东隅,收之桑榆——浅议1920年代宾大对中国建筑学术之影响[J].建筑学报,2018,(08):79-84.</w:t>
      </w:r>
    </w:p>
    <w:p w14:paraId="59BA8E01">
      <w:pPr>
        <w:pStyle w:val="4"/>
        <w:ind w:firstLine="0" w:firstLineChars="0"/>
      </w:pPr>
      <w:r>
        <w:rPr>
          <w:rFonts w:hint="eastAsia"/>
        </w:rPr>
        <w:t>[15] 顾大庆.向“布扎”学习——传统建筑设计教学法的现代诠释[J].建筑学报,2018,(08):98-103.</w:t>
      </w:r>
    </w:p>
    <w:p w14:paraId="64E6AABB">
      <w:pPr>
        <w:pStyle w:val="4"/>
        <w:ind w:firstLine="0" w:firstLineChars="0"/>
      </w:pPr>
      <w:r>
        <w:rPr>
          <w:rFonts w:hint="eastAsia"/>
        </w:rPr>
        <w:t>[16] 汪妍泽.学院式建筑教育的传承与变革[D].东南大学,2019.</w:t>
      </w:r>
    </w:p>
    <w:p w14:paraId="0030B722">
      <w:pPr>
        <w:pStyle w:val="4"/>
        <w:ind w:firstLine="0" w:firstLineChars="0"/>
      </w:pPr>
      <w:r>
        <w:rPr>
          <w:rFonts w:hint="eastAsia"/>
        </w:rPr>
        <w:t>[17] 黄元炤.中国近代建筑纲要[M].北京：中国建筑工业出版社.2015.9.</w:t>
      </w:r>
    </w:p>
    <w:p w14:paraId="67EE35BE">
      <w:pPr>
        <w:pStyle w:val="4"/>
        <w:ind w:firstLine="0" w:firstLineChars="0"/>
      </w:pPr>
      <w:r>
        <w:rPr>
          <w:rFonts w:hint="eastAsia"/>
        </w:rPr>
        <w:t>[18] 童明.布扎与现代建筑关于两种传统的断离与延续[J].时代建筑,2018,(06):6-17.</w:t>
      </w:r>
    </w:p>
    <w:p w14:paraId="3890A22D">
      <w:pPr>
        <w:pStyle w:val="4"/>
        <w:ind w:firstLine="0" w:firstLineChars="0"/>
      </w:pPr>
      <w:r>
        <w:rPr>
          <w:rFonts w:hint="eastAsia"/>
        </w:rPr>
        <w:t xml:space="preserve">[19] 莫万莉,张博远.成为现代阅读“中国建造：现代建筑百年对话”展中的22个作品[J].时代建筑,2023,(01):45-55. </w:t>
      </w:r>
    </w:p>
    <w:p w14:paraId="1FAA6CA5">
      <w:pPr>
        <w:pStyle w:val="4"/>
        <w:ind w:firstLine="0" w:firstLineChars="0"/>
      </w:pPr>
      <w:r>
        <w:rPr>
          <w:rFonts w:hint="eastAsia"/>
        </w:rPr>
        <w:t>[20] 李华.现代性与“中国建筑特点”的构筑——宾大中国第一代建筑学人的一个思想脉络(1920-1950年代)[J].建筑学报,2018,(08):85-90.</w:t>
      </w:r>
    </w:p>
    <w:p w14:paraId="6816B6AD">
      <w:pPr>
        <w:pStyle w:val="4"/>
        <w:ind w:firstLine="0" w:firstLineChars="0"/>
      </w:pPr>
      <w:r>
        <w:rPr>
          <w:rFonts w:hint="eastAsia"/>
        </w:rPr>
        <w:t>[21] 林中杰,丁力扬.折叠的历史宾夕法尼亚大学与百年中国建筑[J].时代建筑,2023,(01):30-39.</w:t>
      </w:r>
    </w:p>
    <w:p w14:paraId="4A6B08A7">
      <w:pPr>
        <w:pStyle w:val="4"/>
        <w:ind w:firstLine="0" w:firstLineChars="0"/>
      </w:pPr>
      <w:r>
        <w:rPr>
          <w:rFonts w:hint="eastAsia"/>
        </w:rPr>
        <w:t>[22] 童明.范式转型中的中国近代建筑——关于宾大建筑教育与美式布扎的反思[J].建筑学报,2018,(08):68-78.</w:t>
      </w:r>
    </w:p>
    <w:p w14:paraId="0737C789">
      <w:pPr>
        <w:pStyle w:val="4"/>
        <w:ind w:firstLine="0" w:firstLineChars="0"/>
      </w:pPr>
      <w:r>
        <w:rPr>
          <w:rFonts w:hint="eastAsia"/>
        </w:rPr>
        <w:t>[23] 汪妍泽,单踊.还原布扎一种现代建筑思想的批判呈现[J].时代建筑,2018,(06):24-30.</w:t>
      </w:r>
    </w:p>
    <w:p w14:paraId="01EE9695">
      <w:pPr>
        <w:pStyle w:val="4"/>
        <w:ind w:firstLine="0" w:firstLineChars="0"/>
      </w:pPr>
      <w:r>
        <w:rPr>
          <w:rFonts w:hint="eastAsia"/>
        </w:rPr>
        <w:t>[24] 丁沃沃.回归建筑本源:反思中国的建筑教育[J].建筑师,2009,(04):85-92+4.</w:t>
      </w:r>
    </w:p>
    <w:p w14:paraId="3913945E">
      <w:pPr>
        <w:pStyle w:val="4"/>
        <w:ind w:firstLine="0" w:firstLineChars="0"/>
      </w:pPr>
      <w:r>
        <w:rPr>
          <w:rFonts w:hint="eastAsia"/>
        </w:rPr>
        <w:t>[25] 汪晓茜,刘馨悦.继承和转译：小议近代中国建筑中的帕拉第奥式遗产[J].建筑史学刊,2021,2(04):100-107.</w:t>
      </w:r>
    </w:p>
    <w:p w14:paraId="3F2FA382">
      <w:pPr>
        <w:pStyle w:val="4"/>
        <w:ind w:firstLine="0" w:firstLineChars="0"/>
      </w:pPr>
      <w:r>
        <w:rPr>
          <w:rFonts w:hint="eastAsia"/>
        </w:rPr>
        <w:t>[26] 魏筱丽,罗薇.权威之下何以创新——职业视角下的巴黎美术学院（一）：从职业触发[J].建筑师,2024,(04):127-130.</w:t>
      </w:r>
    </w:p>
    <w:p w14:paraId="21A0760A">
      <w:pPr>
        <w:pStyle w:val="4"/>
        <w:ind w:firstLine="0" w:firstLineChars="0"/>
      </w:pPr>
      <w:r>
        <w:rPr>
          <w:rFonts w:hint="eastAsia"/>
        </w:rPr>
        <w:t>[27] 刘馨悦.中国近代留法建筑师群体研究[D].东南大学,2022.</w:t>
      </w:r>
    </w:p>
    <w:p w14:paraId="23DD1FDF">
      <w:pPr>
        <w:pStyle w:val="4"/>
        <w:ind w:firstLine="0" w:firstLineChars="0"/>
      </w:pPr>
      <w:r>
        <w:rPr>
          <w:rFonts w:hint="eastAsia"/>
        </w:rPr>
        <w:t>[28] 徐苏斌,李天.巴黎美术学院派在天津法租界的影响——以法国建筑师门德尔松为例[J].建筑史,2015,(01):190-198.</w:t>
      </w:r>
    </w:p>
    <w:p w14:paraId="751C775D">
      <w:pPr>
        <w:pStyle w:val="4"/>
        <w:ind w:firstLine="0" w:firstLineChars="0"/>
      </w:pPr>
      <w:r>
        <w:rPr>
          <w:rFonts w:hint="eastAsia"/>
        </w:rPr>
        <w:t>[29] 刘清越.天津近代建筑师的职业化进程研究[D].天津大学,2019.</w:t>
      </w:r>
    </w:p>
    <w:p w14:paraId="601C2451">
      <w:pPr>
        <w:pStyle w:val="4"/>
        <w:ind w:firstLine="0" w:firstLineChars="0"/>
        <w:rPr>
          <w:rFonts w:hint="eastAsia"/>
        </w:rPr>
      </w:pPr>
      <w:r>
        <w:rPr>
          <w:rFonts w:hint="eastAsia"/>
        </w:rPr>
        <w:t>[30] LAU, Leung Kwok Prudence .Adaptive Modern and Speculative Urbanism_The Architecture of the Crédit Foncier d'Extrême-Orient (C.F.E.O.) in Hong Kong and China's Treaty Ports[D]. The Chinese University of Hong Kong.2013.</w:t>
      </w:r>
    </w:p>
    <w:p w14:paraId="32AA293E">
      <w:pPr>
        <w:pStyle w:val="4"/>
        <w:ind w:firstLine="0" w:firstLineChars="0"/>
      </w:pPr>
      <w:r>
        <w:rPr>
          <w:rFonts w:hint="eastAsia"/>
        </w:rPr>
        <w:t>[31] 杜小辉.天津义品公司研究[D].天津大学,2014.</w:t>
      </w:r>
    </w:p>
    <w:p w14:paraId="44FD05FE">
      <w:pPr>
        <w:pStyle w:val="4"/>
        <w:ind w:firstLine="0" w:firstLineChars="0"/>
        <w:rPr>
          <w:rFonts w:hint="eastAsia"/>
        </w:rPr>
      </w:pPr>
      <w:r>
        <w:rPr>
          <w:rFonts w:hint="eastAsia"/>
        </w:rPr>
        <w:t>[33] Thomas COOMANS &amp; Prudence LAU Leung-kwok 劉亮國, “Les tribulations d’un architecte belge en Chine : Gustave Volckaert, au service du Crédit Foncier d’Extrême-Orient, 1914-1954”, Revue Belge d’Archéologie et d’Histoire de l’Art / Belgisch Tijdschrift voor Oudheidkunde en Kunstgeschiedenis, 81, 2012, p. 129-153 [ISSN: 0035-077X].</w:t>
      </w:r>
    </w:p>
    <w:p w14:paraId="39DBAC47">
      <w:pPr>
        <w:pStyle w:val="4"/>
        <w:ind w:firstLine="0" w:firstLineChars="0"/>
        <w:rPr>
          <w:rFonts w:hint="eastAsia"/>
        </w:rPr>
      </w:pPr>
      <w:r>
        <w:rPr>
          <w:rFonts w:hint="eastAsia"/>
        </w:rPr>
        <w:t>[34] Prudence LAU Leung-kwok 劉亮國 &amp; Thomas COOMANS, “Modern Architectural Influences of Western Construction Companies in China. The Crédit Foncier d’Extrême-Orient, 1907-1959”, in: Austin WILLIAMS &amp; Theodoros DOUNAS (eds.), Masterplanning the Future - Modernism: East, West &amp; Across the World. The Proceedings of an International Conference held at Xi’an Jiaotong,Liverpool University on 18-19th October 2012, Suzhou, Transport Research Publications, 2012, p. 69-77 [ISBN 978-1-903094-01-3].</w:t>
      </w:r>
    </w:p>
    <w:p w14:paraId="3B6CF2D0">
      <w:pPr>
        <w:pStyle w:val="4"/>
        <w:ind w:firstLine="0" w:firstLineChars="0"/>
      </w:pPr>
      <w:r>
        <w:rPr>
          <w:rFonts w:hint="eastAsia"/>
        </w:rPr>
        <w:t>[35] 李天,周晶.工兵、道路测量师与传教士——天津租界早期设计者研究[J].建筑师,2018,(02):57-62.</w:t>
      </w:r>
    </w:p>
    <w:p w14:paraId="5DABF94A">
      <w:pPr>
        <w:pStyle w:val="4"/>
        <w:ind w:firstLine="0" w:firstLineChars="0"/>
      </w:pPr>
      <w:r>
        <w:rPr>
          <w:rFonts w:hint="eastAsia"/>
        </w:rPr>
        <w:t>[36] 童超.康乾盛世[M].云南：云南教育出版社.2010.</w:t>
      </w:r>
    </w:p>
    <w:p w14:paraId="29878305">
      <w:pPr>
        <w:pStyle w:val="4"/>
        <w:ind w:firstLine="0" w:firstLineChars="0"/>
      </w:pPr>
      <w:r>
        <w:rPr>
          <w:rFonts w:hint="eastAsia"/>
        </w:rPr>
        <w:t>[37] 张利民.20世纪初期天津对外贸易变化简析——从海关史的角度[J].国家航海, 2016, 000(003):167-181.</w:t>
      </w:r>
    </w:p>
    <w:p w14:paraId="4EBA2950">
      <w:pPr>
        <w:pStyle w:val="4"/>
        <w:ind w:firstLine="0" w:firstLineChars="0"/>
        <w:rPr>
          <w:lang w:val="fr-CA"/>
        </w:rPr>
      </w:pPr>
      <w:r>
        <w:rPr>
          <w:rFonts w:hint="eastAsia"/>
          <w:lang w:val="fr-CA"/>
        </w:rPr>
        <w:t>[38] Danielle Buyssens:</w:t>
      </w:r>
      <w:r>
        <w:rPr>
          <w:lang w:val="fr-CA"/>
        </w:rPr>
        <w:t> La carrière parisienne de Pierre Soubeyran, premier directeur de l'école publique de dessin de Genève. In Liber</w:t>
      </w:r>
      <w:r>
        <w:rPr>
          <w:rFonts w:hint="eastAsia"/>
          <w:lang w:val="fr-CA"/>
        </w:rPr>
        <w:t xml:space="preserve"> </w:t>
      </w:r>
      <w:r>
        <w:rPr>
          <w:lang w:val="fr-CA"/>
        </w:rPr>
        <w:t>veritatis. 2007</w:t>
      </w:r>
      <w:r>
        <w:rPr>
          <w:rFonts w:hint="eastAsia"/>
          <w:lang w:val="fr-CA"/>
        </w:rPr>
        <w:t>.</w:t>
      </w:r>
    </w:p>
    <w:p w14:paraId="56CFBB60">
      <w:pPr>
        <w:pStyle w:val="4"/>
        <w:ind w:firstLine="0" w:firstLineChars="0"/>
        <w:rPr>
          <w:color w:val="808080" w:themeColor="background1" w:themeShade="80"/>
          <w:lang w:val="fr-CA"/>
        </w:rPr>
      </w:pPr>
      <w:r>
        <w:rPr>
          <w:rFonts w:hint="eastAsia"/>
          <w:lang w:val="fr-CA"/>
        </w:rPr>
        <w:t xml:space="preserve">[39] </w:t>
      </w:r>
      <w:r>
        <w:rPr>
          <w:rFonts w:hint="eastAsia"/>
        </w:rPr>
        <w:t>武求实</w:t>
      </w:r>
      <w:r>
        <w:rPr>
          <w:rFonts w:hint="eastAsia"/>
          <w:lang w:val="fr-CA"/>
        </w:rPr>
        <w:t>.</w:t>
      </w:r>
      <w:r>
        <w:rPr>
          <w:rFonts w:hint="eastAsia"/>
        </w:rPr>
        <w:t>法籍天津近代建筑师保罗</w:t>
      </w:r>
      <w:r>
        <w:rPr>
          <w:rFonts w:hint="eastAsia"/>
          <w:lang w:val="fr-CA"/>
        </w:rPr>
        <w:t>·</w:t>
      </w:r>
      <w:r>
        <w:rPr>
          <w:rFonts w:hint="eastAsia"/>
        </w:rPr>
        <w:t>慕乐研究</w:t>
      </w:r>
      <w:r>
        <w:rPr>
          <w:rFonts w:hint="eastAsia"/>
          <w:lang w:val="fr-CA"/>
        </w:rPr>
        <w:t>[D].</w:t>
      </w:r>
      <w:r>
        <w:rPr>
          <w:rFonts w:hint="eastAsia"/>
        </w:rPr>
        <w:t>天津大学</w:t>
      </w:r>
      <w:r>
        <w:rPr>
          <w:rFonts w:hint="eastAsia"/>
          <w:lang w:val="fr-CA"/>
        </w:rPr>
        <w:t>,2012.</w:t>
      </w:r>
    </w:p>
    <w:p w14:paraId="7A543F7E">
      <w:pPr>
        <w:pStyle w:val="4"/>
        <w:ind w:firstLine="0" w:firstLineChars="0"/>
        <w:rPr>
          <w:lang w:val="fr-CA"/>
        </w:rPr>
      </w:pPr>
      <w:r>
        <w:rPr>
          <w:rFonts w:hint="eastAsia"/>
          <w:lang w:val="fr-CA"/>
        </w:rPr>
        <w:t xml:space="preserve">[40] </w:t>
      </w:r>
      <w:r>
        <w:rPr>
          <w:rFonts w:hint="eastAsia"/>
        </w:rPr>
        <w:t>单踊</w:t>
      </w:r>
      <w:r>
        <w:rPr>
          <w:rFonts w:hint="eastAsia"/>
          <w:lang w:val="fr-CA"/>
        </w:rPr>
        <w:t>.</w:t>
      </w:r>
      <w:r>
        <w:rPr>
          <w:rFonts w:hint="eastAsia"/>
        </w:rPr>
        <w:t>西方学院派建筑教育述评</w:t>
      </w:r>
      <w:r>
        <w:rPr>
          <w:rFonts w:hint="eastAsia"/>
          <w:lang w:val="fr-CA"/>
        </w:rPr>
        <w:t>[J].</w:t>
      </w:r>
      <w:r>
        <w:rPr>
          <w:rFonts w:hint="eastAsia"/>
        </w:rPr>
        <w:t>建筑师</w:t>
      </w:r>
      <w:r>
        <w:rPr>
          <w:rFonts w:hint="eastAsia"/>
          <w:lang w:val="fr-CA"/>
        </w:rPr>
        <w:t>,2003,(03):92-96+103.</w:t>
      </w:r>
    </w:p>
    <w:p w14:paraId="0D14BB04">
      <w:pPr>
        <w:pStyle w:val="4"/>
        <w:ind w:firstLine="0" w:firstLineChars="0"/>
        <w:rPr>
          <w:lang w:val="fr-CA"/>
        </w:rPr>
      </w:pPr>
      <w:r>
        <w:rPr>
          <w:rFonts w:hint="eastAsia"/>
          <w:lang w:val="fr-CA"/>
        </w:rPr>
        <w:t xml:space="preserve">[41] </w:t>
      </w:r>
      <w:r>
        <w:rPr>
          <w:rFonts w:hint="eastAsia"/>
        </w:rPr>
        <w:t>涂颖佳,徐苏斌.布扎建筑与中国传统建筑的另一种碰撞——1900年巴黎世界博览会中国馆设计[J].建筑史学刊,2022,3(04):85-96.</w:t>
      </w:r>
    </w:p>
    <w:p w14:paraId="6F572DD7">
      <w:pPr>
        <w:pStyle w:val="4"/>
        <w:ind w:firstLine="0" w:firstLineChars="0"/>
        <w:rPr>
          <w:lang w:val="fr-CA"/>
        </w:rPr>
      </w:pPr>
      <w:r>
        <w:rPr>
          <w:rFonts w:hint="eastAsia"/>
          <w:lang w:val="fr-CA"/>
        </w:rPr>
        <w:t>[42] ÉPRON JP. Comprendre l’éclectisme[M]. Paris: Éditions Norma，1997.</w:t>
      </w:r>
    </w:p>
    <w:p w14:paraId="7E868371">
      <w:pPr>
        <w:pStyle w:val="4"/>
        <w:ind w:firstLine="0" w:firstLineChars="0"/>
        <w:rPr>
          <w:lang w:val="fr-CA"/>
        </w:rPr>
      </w:pPr>
      <w:r>
        <w:rPr>
          <w:rFonts w:hint="eastAsia"/>
          <w:lang w:val="fr-CA"/>
        </w:rPr>
        <w:t xml:space="preserve">[43] </w:t>
      </w:r>
      <w:r>
        <w:t>张畅, 刘悦, (美) 杨溢著</w:t>
      </w:r>
      <w:r>
        <w:rPr>
          <w:rFonts w:hint="eastAsia"/>
        </w:rPr>
        <w:t>.比利时在天津的历史遗迹[M].北京：社会科学文献出版社.2023.</w:t>
      </w:r>
    </w:p>
    <w:p w14:paraId="096D8D73">
      <w:pPr>
        <w:pStyle w:val="4"/>
        <w:ind w:firstLine="0" w:firstLineChars="0"/>
        <w:rPr>
          <w:lang w:val="fr-CA"/>
        </w:rPr>
      </w:pPr>
      <w:r>
        <w:rPr>
          <w:rFonts w:hint="eastAsia"/>
          <w:lang w:val="fr-CA"/>
        </w:rPr>
        <w:t>[44]</w:t>
      </w:r>
      <w:r>
        <w:rPr>
          <w:lang w:val="fr-CA"/>
        </w:rPr>
        <w:t xml:space="preserve"> </w:t>
      </w:r>
      <w:r>
        <w:rPr>
          <w:rFonts w:hint="eastAsia"/>
          <w:spacing w:val="-5"/>
          <w:lang w:val="fr-CA"/>
        </w:rPr>
        <w:t>Aoki Nobuo, Maria Gravari-Barbas,Christine Mengin, Xu Subin，Tianjin, transferts</w:t>
      </w:r>
      <w:r>
        <w:rPr>
          <w:rFonts w:hint="eastAsia" w:eastAsia="华文宋体"/>
          <w:spacing w:val="-5"/>
          <w:lang w:val="fr-CA"/>
        </w:rPr>
        <w:t xml:space="preserve"> </w:t>
      </w:r>
      <w:r>
        <w:rPr>
          <w:rFonts w:hint="eastAsia"/>
          <w:spacing w:val="-5"/>
          <w:lang w:val="fr-CA"/>
        </w:rPr>
        <w:t xml:space="preserve">mondiaux et appropriations locales. Architecture et aménagement urbain dans la Chine moderne[M]. </w:t>
      </w:r>
      <w:r>
        <w:rPr>
          <w:spacing w:val="-5"/>
          <w:lang w:val="fr-CA"/>
        </w:rPr>
        <w:t>É</w:t>
      </w:r>
      <w:r>
        <w:rPr>
          <w:rFonts w:hint="eastAsia"/>
          <w:spacing w:val="-5"/>
          <w:lang w:val="fr-CA"/>
        </w:rPr>
        <w:t>dition de la Sorbonne，2023.</w:t>
      </w:r>
    </w:p>
    <w:p w14:paraId="4AD830F2">
      <w:pPr>
        <w:pStyle w:val="4"/>
        <w:ind w:firstLine="0" w:firstLineChars="0"/>
        <w:rPr>
          <w:lang w:val="fr-CA"/>
        </w:rPr>
      </w:pPr>
      <w:r>
        <w:rPr>
          <w:rFonts w:hint="eastAsia"/>
          <w:lang w:val="fr-CA"/>
        </w:rPr>
        <w:t>[45]</w:t>
      </w:r>
      <w:r>
        <w:rPr>
          <w:rFonts w:hint="eastAsia"/>
          <w:spacing w:val="-5"/>
          <w:lang w:val="fr-CA"/>
        </w:rPr>
        <w:t xml:space="preserve"> </w:t>
      </w:r>
      <w:r>
        <w:rPr>
          <w:rFonts w:hint="eastAsia"/>
        </w:rPr>
        <w:t>天津档案馆</w:t>
      </w:r>
      <w:r>
        <w:rPr>
          <w:rFonts w:hint="eastAsia"/>
          <w:lang w:val="fr-CA"/>
        </w:rPr>
        <w:t>,</w:t>
      </w:r>
      <w:r>
        <w:rPr>
          <w:rFonts w:hint="eastAsia"/>
        </w:rPr>
        <w:t>南开大学分校档案系</w:t>
      </w:r>
      <w:r>
        <w:rPr>
          <w:rFonts w:hint="eastAsia"/>
          <w:lang w:val="fr-CA"/>
        </w:rPr>
        <w:t>.</w:t>
      </w:r>
      <w:r>
        <w:rPr>
          <w:rFonts w:hint="eastAsia"/>
        </w:rPr>
        <w:t>天津租界档案选编</w:t>
      </w:r>
      <w:r>
        <w:rPr>
          <w:rFonts w:hint="eastAsia"/>
          <w:lang w:val="fr-CA"/>
        </w:rPr>
        <w:t>[M].</w:t>
      </w:r>
      <w:r>
        <w:rPr>
          <w:rFonts w:hint="eastAsia"/>
        </w:rPr>
        <w:t>天津市</w:t>
      </w:r>
      <w:r>
        <w:rPr>
          <w:rFonts w:hint="eastAsia"/>
          <w:lang w:val="fr-CA"/>
        </w:rPr>
        <w:t>:</w:t>
      </w:r>
      <w:r>
        <w:rPr>
          <w:rFonts w:hint="eastAsia"/>
        </w:rPr>
        <w:t>天津市人民出版社</w:t>
      </w:r>
      <w:r>
        <w:rPr>
          <w:rFonts w:hint="eastAsia"/>
          <w:lang w:val="fr-CA"/>
        </w:rPr>
        <w:t>，1992.</w:t>
      </w:r>
    </w:p>
    <w:p w14:paraId="62DA8848">
      <w:pPr>
        <w:pStyle w:val="4"/>
        <w:ind w:firstLine="0" w:firstLineChars="0"/>
        <w:rPr>
          <w:lang w:val="fr-CA"/>
        </w:rPr>
      </w:pPr>
      <w:r>
        <w:rPr>
          <w:rFonts w:hint="eastAsia"/>
          <w:lang w:val="fr-CA"/>
        </w:rPr>
        <w:t xml:space="preserve">[46] </w:t>
      </w:r>
      <w:r>
        <w:rPr>
          <w:rFonts w:hint="eastAsia"/>
        </w:rPr>
        <w:t>高仲林主编</w:t>
      </w:r>
      <w:r>
        <w:rPr>
          <w:rFonts w:hint="eastAsia"/>
          <w:lang w:val="fr-CA"/>
        </w:rPr>
        <w:t>.</w:t>
      </w:r>
      <w:r>
        <w:rPr>
          <w:rFonts w:hint="eastAsia"/>
        </w:rPr>
        <w:t>天津近代建筑</w:t>
      </w:r>
      <w:r>
        <w:rPr>
          <w:rFonts w:hint="eastAsia"/>
          <w:lang w:val="fr-CA"/>
        </w:rPr>
        <w:t>[M].</w:t>
      </w:r>
      <w:r>
        <w:rPr>
          <w:rFonts w:hint="eastAsia"/>
        </w:rPr>
        <w:t>天津</w:t>
      </w:r>
      <w:r>
        <w:rPr>
          <w:rFonts w:hint="eastAsia"/>
          <w:lang w:val="fr-CA"/>
        </w:rPr>
        <w:t>：</w:t>
      </w:r>
      <w:r>
        <w:rPr>
          <w:rFonts w:hint="eastAsia"/>
        </w:rPr>
        <w:t>天津科学技术出版社</w:t>
      </w:r>
      <w:r>
        <w:rPr>
          <w:rFonts w:hint="eastAsia"/>
          <w:lang w:val="fr-CA"/>
        </w:rPr>
        <w:t>.1990.4.</w:t>
      </w:r>
    </w:p>
    <w:p w14:paraId="74AB2039">
      <w:pPr>
        <w:pStyle w:val="4"/>
        <w:ind w:firstLine="0" w:firstLineChars="0"/>
        <w:rPr>
          <w:lang w:val="fr-CA"/>
        </w:rPr>
      </w:pPr>
      <w:r>
        <w:rPr>
          <w:rFonts w:hint="eastAsia"/>
          <w:lang w:val="fr-CA"/>
        </w:rPr>
        <w:t xml:space="preserve">[47] </w:t>
      </w:r>
      <w:r>
        <w:rPr>
          <w:rFonts w:hint="eastAsia"/>
        </w:rPr>
        <w:t>戴维·凡·赞腾,张洁.究竟何为布扎建筑构成?[J].时代建筑,2018,(06):42-47.</w:t>
      </w:r>
    </w:p>
    <w:p w14:paraId="64002464">
      <w:pPr>
        <w:pStyle w:val="4"/>
        <w:ind w:firstLine="360"/>
        <w:rPr>
          <w:lang w:val="fr-CA"/>
        </w:rPr>
      </w:pPr>
    </w:p>
    <w:p w14:paraId="7480E991">
      <w:pPr>
        <w:pStyle w:val="4"/>
        <w:ind w:firstLine="0" w:firstLineChars="0"/>
        <w:rPr>
          <w:lang w:val="fr-CA"/>
        </w:rPr>
      </w:pPr>
      <w:r>
        <w:rPr>
          <w:rFonts w:hint="eastAsia"/>
        </w:rPr>
        <w:t>图表来源</w:t>
      </w:r>
    </w:p>
    <w:p w14:paraId="108D4655">
      <w:pPr>
        <w:ind w:firstLine="0" w:firstLineChars="0"/>
        <w:rPr>
          <w:rFonts w:hint="eastAsia" w:eastAsia="微软雅黑 Light"/>
          <w:sz w:val="18"/>
          <w:szCs w:val="18"/>
          <w:lang w:val="fr-CA"/>
        </w:rPr>
      </w:pPr>
      <w:r>
        <w:rPr>
          <w:rFonts w:hint="eastAsia" w:eastAsia="微软雅黑 Light"/>
          <w:sz w:val="18"/>
          <w:szCs w:val="18"/>
        </w:rPr>
        <w:t>表</w:t>
      </w:r>
      <w:r>
        <w:rPr>
          <w:rFonts w:hint="eastAsia" w:eastAsia="微软雅黑 Light"/>
          <w:sz w:val="18"/>
          <w:szCs w:val="18"/>
          <w:lang w:val="fr-CA"/>
        </w:rPr>
        <w:t>1：</w:t>
      </w:r>
      <w:r>
        <w:rPr>
          <w:rFonts w:hint="eastAsia" w:eastAsia="微软雅黑 Light"/>
          <w:sz w:val="18"/>
          <w:szCs w:val="18"/>
        </w:rPr>
        <w:t>作者整理</w:t>
      </w:r>
      <w:r>
        <w:rPr>
          <w:rFonts w:hint="eastAsia" w:eastAsia="微软雅黑 Light"/>
          <w:sz w:val="18"/>
          <w:szCs w:val="18"/>
          <w:lang w:val="fr-CA"/>
        </w:rPr>
        <w:t>，</w:t>
      </w:r>
      <w:r>
        <w:rPr>
          <w:rFonts w:hint="eastAsia" w:eastAsia="微软雅黑 Light"/>
          <w:sz w:val="18"/>
          <w:szCs w:val="18"/>
        </w:rPr>
        <w:t>参见</w:t>
      </w:r>
      <w:r>
        <w:rPr>
          <w:rFonts w:hint="eastAsia" w:eastAsia="微软雅黑 Light"/>
          <w:sz w:val="18"/>
          <w:szCs w:val="18"/>
          <w:lang w:val="fr-CA"/>
        </w:rPr>
        <w:t>913–1183, C.F.E.O. Archives nationales de Belgique, Brussels；Registres matricules des élèves de la Section d'architecture : Numéros 5616 à 8326. 1904-1925., AJ/52/241,Archives nationales, Paris.</w:t>
      </w:r>
    </w:p>
    <w:p w14:paraId="16CFD8AA">
      <w:pPr>
        <w:ind w:firstLine="0" w:firstLineChars="0"/>
        <w:rPr>
          <w:rFonts w:hint="eastAsia" w:eastAsia="微软雅黑 Light"/>
          <w:sz w:val="18"/>
          <w:szCs w:val="18"/>
          <w:lang w:val="fr-CA"/>
        </w:rPr>
      </w:pPr>
      <w:r>
        <w:rPr>
          <w:rFonts w:hint="eastAsia" w:eastAsia="微软雅黑 Light"/>
          <w:sz w:val="18"/>
          <w:szCs w:val="18"/>
          <w:lang w:val="fr-CA"/>
        </w:rPr>
        <w:t>图1：作者自绘，参见913–1183, C.F.E.O. Archives nationales de Belgique, Brussels.</w:t>
      </w:r>
    </w:p>
    <w:p w14:paraId="3EB7A48F">
      <w:pPr>
        <w:pStyle w:val="4"/>
        <w:ind w:firstLine="0" w:firstLineChars="0"/>
        <w:rPr>
          <w:lang w:val="fr-CA"/>
        </w:rPr>
      </w:pPr>
      <w:r>
        <w:rPr>
          <w:rFonts w:hint="eastAsia"/>
        </w:rPr>
        <w:t>图</w:t>
      </w:r>
      <w:r>
        <w:rPr>
          <w:rFonts w:hint="eastAsia"/>
          <w:lang w:val="fr-CA"/>
        </w:rPr>
        <w:t>2：</w:t>
      </w:r>
      <w:r>
        <w:rPr>
          <w:rFonts w:hint="eastAsia"/>
          <w:szCs w:val="18"/>
          <w:lang w:val="fr-CA"/>
        </w:rPr>
        <w:t>913–1183, C.F.E.O. Archives nationales de Belgique, Brussels.</w:t>
      </w:r>
    </w:p>
    <w:p w14:paraId="2630E1A2">
      <w:pPr>
        <w:pStyle w:val="4"/>
        <w:ind w:firstLine="0" w:firstLineChars="0"/>
        <w:rPr>
          <w:lang w:val="fr-CA"/>
        </w:rPr>
      </w:pPr>
      <w:r>
        <w:rPr>
          <w:rFonts w:hint="eastAsia"/>
        </w:rPr>
        <w:t>图</w:t>
      </w:r>
      <w:r>
        <w:rPr>
          <w:rFonts w:hint="eastAsia"/>
          <w:lang w:val="fr-CA"/>
        </w:rPr>
        <w:t>3：1177, C.F.E.O. Archives nationales de Belgique, Brussels.</w:t>
      </w:r>
    </w:p>
    <w:p w14:paraId="3C4CDBF8">
      <w:pPr>
        <w:pStyle w:val="4"/>
        <w:ind w:firstLine="0" w:firstLineChars="0"/>
        <w:rPr>
          <w:szCs w:val="18"/>
          <w:lang w:val="fr-CA"/>
        </w:rPr>
      </w:pPr>
      <w:r>
        <w:rPr>
          <w:rFonts w:hint="eastAsia"/>
        </w:rPr>
        <w:t>图</w:t>
      </w:r>
      <w:r>
        <w:rPr>
          <w:rFonts w:hint="eastAsia"/>
          <w:lang w:val="fr-CA"/>
        </w:rPr>
        <w:t>4</w:t>
      </w:r>
      <w:r>
        <w:rPr>
          <w:rFonts w:hint="eastAsia"/>
          <w:szCs w:val="18"/>
          <w:lang w:val="fr-CA"/>
        </w:rPr>
        <w:t>：</w:t>
      </w:r>
      <w:r>
        <w:rPr>
          <w:rFonts w:hint="eastAsia"/>
          <w:szCs w:val="18"/>
        </w:rPr>
        <w:t>作者自绘</w:t>
      </w:r>
    </w:p>
    <w:p w14:paraId="6B9F83F2">
      <w:pPr>
        <w:ind w:firstLine="0" w:firstLineChars="0"/>
        <w:rPr>
          <w:rFonts w:eastAsia="微软雅黑 Light"/>
          <w:sz w:val="18"/>
          <w:szCs w:val="18"/>
          <w:lang w:val="fr-CA"/>
        </w:rPr>
      </w:pPr>
      <w:r>
        <w:rPr>
          <w:rFonts w:hint="eastAsia" w:eastAsia="微软雅黑 Light"/>
          <w:sz w:val="18"/>
          <w:szCs w:val="18"/>
        </w:rPr>
        <w:t>图</w:t>
      </w:r>
      <w:r>
        <w:rPr>
          <w:rFonts w:hint="eastAsia" w:eastAsia="微软雅黑 Light"/>
          <w:sz w:val="18"/>
          <w:szCs w:val="18"/>
          <w:lang w:val="fr-CA"/>
        </w:rPr>
        <w:t>5：</w:t>
      </w:r>
      <w:r>
        <w:rPr>
          <w:rFonts w:hint="eastAsia" w:eastAsia="微软雅黑 Light"/>
          <w:sz w:val="18"/>
          <w:szCs w:val="18"/>
        </w:rPr>
        <w:t>旧照</w:t>
      </w:r>
      <w:r>
        <w:rPr>
          <w:rFonts w:hint="eastAsia" w:eastAsia="微软雅黑 Light"/>
          <w:sz w:val="18"/>
          <w:szCs w:val="18"/>
          <w:lang w:val="fr-CA"/>
        </w:rPr>
        <w:t>：https://zh.wikipedia.org；</w:t>
      </w:r>
      <w:r>
        <w:rPr>
          <w:rFonts w:hint="eastAsia" w:eastAsia="微软雅黑 Light"/>
          <w:sz w:val="18"/>
          <w:szCs w:val="18"/>
        </w:rPr>
        <w:t>作者依据原始图纸改绘</w:t>
      </w:r>
      <w:r>
        <w:rPr>
          <w:rFonts w:hint="eastAsia" w:eastAsia="微软雅黑 Light"/>
          <w:sz w:val="18"/>
          <w:szCs w:val="18"/>
          <w:lang w:val="fr-CA"/>
        </w:rPr>
        <w:t>，</w:t>
      </w:r>
      <w:r>
        <w:rPr>
          <w:rFonts w:hint="eastAsia" w:eastAsia="微软雅黑 Light"/>
          <w:sz w:val="18"/>
          <w:szCs w:val="18"/>
        </w:rPr>
        <w:t>来源</w:t>
      </w:r>
      <w:r>
        <w:rPr>
          <w:rFonts w:hint="eastAsia" w:eastAsia="微软雅黑 Light"/>
          <w:sz w:val="18"/>
          <w:szCs w:val="18"/>
          <w:lang w:val="fr-CA"/>
        </w:rPr>
        <w:t>：</w:t>
      </w:r>
      <w:r>
        <w:rPr>
          <w:rFonts w:hint="eastAsia" w:eastAsia="微软雅黑 Light"/>
          <w:sz w:val="18"/>
          <w:szCs w:val="18"/>
        </w:rPr>
        <w:t>天津市历史风貌建筑保护委员会办公室</w:t>
      </w:r>
      <w:r>
        <w:rPr>
          <w:rFonts w:hint="eastAsia" w:eastAsia="微软雅黑 Light"/>
          <w:sz w:val="18"/>
          <w:szCs w:val="18"/>
          <w:lang w:val="fr-CA"/>
        </w:rPr>
        <w:t>，</w:t>
      </w:r>
      <w:r>
        <w:rPr>
          <w:rFonts w:hint="eastAsia" w:eastAsia="微软雅黑 Light"/>
          <w:sz w:val="18"/>
          <w:szCs w:val="18"/>
        </w:rPr>
        <w:t>天津市国土资源和房屋管理局编</w:t>
      </w:r>
      <w:r>
        <w:rPr>
          <w:rFonts w:hint="eastAsia" w:eastAsia="微软雅黑 Light"/>
          <w:sz w:val="18"/>
          <w:szCs w:val="18"/>
          <w:lang w:val="fr-CA"/>
        </w:rPr>
        <w:t>.</w:t>
      </w:r>
      <w:r>
        <w:rPr>
          <w:rFonts w:hint="eastAsia" w:eastAsia="微软雅黑 Light"/>
          <w:sz w:val="18"/>
          <w:szCs w:val="18"/>
        </w:rPr>
        <w:t>天津历史风貌建筑</w:t>
      </w:r>
      <w:r>
        <w:rPr>
          <w:rFonts w:hint="eastAsia" w:eastAsia="微软雅黑 Light"/>
          <w:sz w:val="18"/>
          <w:szCs w:val="18"/>
          <w:lang w:val="fr-CA"/>
        </w:rPr>
        <w:t>——</w:t>
      </w:r>
      <w:r>
        <w:rPr>
          <w:rFonts w:hint="eastAsia" w:eastAsia="微软雅黑 Light"/>
          <w:sz w:val="18"/>
          <w:szCs w:val="18"/>
        </w:rPr>
        <w:t>总览</w:t>
      </w:r>
      <w:r>
        <w:rPr>
          <w:rFonts w:hint="eastAsia" w:eastAsia="微软雅黑 Light"/>
          <w:sz w:val="18"/>
          <w:szCs w:val="18"/>
          <w:lang w:val="fr-CA"/>
        </w:rPr>
        <w:t>[M].</w:t>
      </w:r>
      <w:r>
        <w:rPr>
          <w:rFonts w:hint="eastAsia" w:eastAsia="微软雅黑 Light"/>
          <w:sz w:val="18"/>
          <w:szCs w:val="18"/>
        </w:rPr>
        <w:t>北京</w:t>
      </w:r>
      <w:r>
        <w:rPr>
          <w:rFonts w:hint="eastAsia" w:eastAsia="微软雅黑 Light"/>
          <w:sz w:val="18"/>
          <w:szCs w:val="18"/>
          <w:lang w:val="fr-CA"/>
        </w:rPr>
        <w:t>：</w:t>
      </w:r>
      <w:r>
        <w:rPr>
          <w:rFonts w:hint="eastAsia" w:eastAsia="微软雅黑 Light"/>
          <w:sz w:val="18"/>
          <w:szCs w:val="18"/>
        </w:rPr>
        <w:t>中国建筑工业出版社</w:t>
      </w:r>
      <w:r>
        <w:rPr>
          <w:rFonts w:hint="eastAsia" w:eastAsia="微软雅黑 Light"/>
          <w:sz w:val="18"/>
          <w:szCs w:val="18"/>
          <w:lang w:val="fr-CA"/>
        </w:rPr>
        <w:t>，2007.9</w:t>
      </w:r>
    </w:p>
    <w:p w14:paraId="6195C65C">
      <w:pPr>
        <w:ind w:firstLine="0" w:firstLineChars="0"/>
        <w:rPr>
          <w:rFonts w:eastAsia="微软雅黑 Light"/>
          <w:sz w:val="18"/>
          <w:szCs w:val="18"/>
          <w:lang w:val="fr-CA"/>
        </w:rPr>
      </w:pPr>
      <w:r>
        <w:rPr>
          <w:rFonts w:hint="eastAsia" w:eastAsia="微软雅黑 Light"/>
          <w:sz w:val="18"/>
          <w:szCs w:val="18"/>
        </w:rPr>
        <w:t>图</w:t>
      </w:r>
      <w:r>
        <w:rPr>
          <w:rFonts w:hint="eastAsia" w:eastAsia="微软雅黑 Light"/>
          <w:sz w:val="18"/>
          <w:szCs w:val="18"/>
          <w:lang w:val="fr-CA"/>
        </w:rPr>
        <w:t>6：</w:t>
      </w:r>
      <w:r>
        <w:rPr>
          <w:rFonts w:hint="eastAsia" w:eastAsia="微软雅黑 Light"/>
          <w:sz w:val="18"/>
          <w:szCs w:val="18"/>
        </w:rPr>
        <w:t>旧照</w:t>
      </w:r>
      <w:r>
        <w:rPr>
          <w:rFonts w:hint="eastAsia" w:eastAsia="微软雅黑 Light"/>
          <w:sz w:val="18"/>
          <w:szCs w:val="18"/>
          <w:lang w:val="fr-CA"/>
        </w:rPr>
        <w:t>：https://zh.wikipedia.org；</w:t>
      </w:r>
      <w:r>
        <w:rPr>
          <w:rFonts w:hint="eastAsia" w:eastAsia="微软雅黑 Light"/>
          <w:sz w:val="18"/>
          <w:szCs w:val="18"/>
        </w:rPr>
        <w:t>作者依据门德尔松设计图纸改绘</w:t>
      </w:r>
      <w:r>
        <w:rPr>
          <w:rFonts w:hint="eastAsia" w:eastAsia="微软雅黑 Light"/>
          <w:sz w:val="18"/>
          <w:szCs w:val="18"/>
          <w:lang w:val="fr-CA"/>
        </w:rPr>
        <w:t>，</w:t>
      </w:r>
      <w:r>
        <w:rPr>
          <w:rFonts w:hint="eastAsia" w:eastAsia="微软雅黑 Light"/>
          <w:sz w:val="18"/>
          <w:szCs w:val="18"/>
        </w:rPr>
        <w:t>来源</w:t>
      </w:r>
      <w:r>
        <w:rPr>
          <w:rFonts w:hint="eastAsia" w:eastAsia="微软雅黑 Light"/>
          <w:sz w:val="18"/>
          <w:szCs w:val="18"/>
          <w:lang w:val="fr-CA"/>
        </w:rPr>
        <w:t>：172, C.F.E.O. Archives nationales de Belgique, Brussels</w:t>
      </w:r>
    </w:p>
    <w:p w14:paraId="49E7A38B">
      <w:pPr>
        <w:ind w:firstLine="0" w:firstLineChars="0"/>
        <w:rPr>
          <w:rFonts w:eastAsia="微软雅黑 Light"/>
          <w:sz w:val="18"/>
          <w:szCs w:val="18"/>
          <w:lang w:val="fr-CA"/>
        </w:rPr>
      </w:pPr>
      <w:r>
        <w:rPr>
          <w:rFonts w:hint="eastAsia" w:eastAsia="微软雅黑 Light"/>
          <w:sz w:val="18"/>
          <w:szCs w:val="18"/>
        </w:rPr>
        <w:t>图</w:t>
      </w:r>
      <w:r>
        <w:rPr>
          <w:rFonts w:hint="eastAsia" w:eastAsia="微软雅黑 Light"/>
          <w:sz w:val="18"/>
          <w:szCs w:val="18"/>
          <w:lang w:val="fr-CA"/>
        </w:rPr>
        <w:t>7：</w:t>
      </w:r>
      <w:r>
        <w:rPr>
          <w:rFonts w:hint="eastAsia" w:eastAsia="微软雅黑 Light"/>
          <w:sz w:val="18"/>
          <w:szCs w:val="18"/>
        </w:rPr>
        <w:t>旧照</w:t>
      </w:r>
      <w:r>
        <w:rPr>
          <w:rFonts w:hint="eastAsia" w:eastAsia="微软雅黑 Light"/>
          <w:sz w:val="18"/>
          <w:szCs w:val="18"/>
          <w:lang w:val="fr-CA"/>
        </w:rPr>
        <w:t>：C.F.E.O.Album，Archives nationales de Belgique, Brussels.</w:t>
      </w:r>
    </w:p>
    <w:p w14:paraId="5679E975">
      <w:pPr>
        <w:ind w:firstLine="0" w:firstLineChars="0"/>
        <w:rPr>
          <w:rFonts w:eastAsia="微软雅黑 Light"/>
          <w:sz w:val="18"/>
          <w:szCs w:val="18"/>
          <w:lang w:val="fr-CA"/>
        </w:rPr>
      </w:pPr>
      <w:r>
        <w:rPr>
          <w:rFonts w:hint="eastAsia" w:eastAsia="微软雅黑 Light"/>
          <w:sz w:val="18"/>
          <w:szCs w:val="18"/>
        </w:rPr>
        <w:t>作者依据原始图纸改绘</w:t>
      </w:r>
      <w:r>
        <w:rPr>
          <w:rFonts w:hint="eastAsia" w:eastAsia="微软雅黑 Light"/>
          <w:sz w:val="18"/>
          <w:szCs w:val="18"/>
          <w:lang w:val="fr-CA"/>
        </w:rPr>
        <w:t>，</w:t>
      </w:r>
      <w:r>
        <w:rPr>
          <w:rFonts w:hint="eastAsia" w:eastAsia="微软雅黑 Light"/>
          <w:sz w:val="18"/>
          <w:szCs w:val="18"/>
        </w:rPr>
        <w:t>来源</w:t>
      </w:r>
      <w:r>
        <w:rPr>
          <w:rFonts w:hint="eastAsia" w:eastAsia="微软雅黑 Light"/>
          <w:sz w:val="18"/>
          <w:szCs w:val="18"/>
          <w:lang w:val="fr-CA"/>
        </w:rPr>
        <w:t>：</w:t>
      </w:r>
      <w:r>
        <w:rPr>
          <w:rFonts w:hint="eastAsia" w:eastAsia="微软雅黑 Light"/>
          <w:sz w:val="18"/>
          <w:szCs w:val="18"/>
        </w:rPr>
        <w:t>天津市历史风貌建筑保护委员会办公室</w:t>
      </w:r>
      <w:r>
        <w:rPr>
          <w:rFonts w:hint="eastAsia" w:eastAsia="微软雅黑 Light"/>
          <w:sz w:val="18"/>
          <w:szCs w:val="18"/>
          <w:lang w:val="fr-CA"/>
        </w:rPr>
        <w:t>，</w:t>
      </w:r>
      <w:r>
        <w:rPr>
          <w:rFonts w:hint="eastAsia" w:eastAsia="微软雅黑 Light"/>
          <w:sz w:val="18"/>
          <w:szCs w:val="18"/>
        </w:rPr>
        <w:t>天津市国土资源和房屋管理局编</w:t>
      </w:r>
      <w:r>
        <w:rPr>
          <w:rFonts w:hint="eastAsia" w:eastAsia="微软雅黑 Light"/>
          <w:sz w:val="18"/>
          <w:szCs w:val="18"/>
          <w:lang w:val="fr-CA"/>
        </w:rPr>
        <w:t>.</w:t>
      </w:r>
      <w:r>
        <w:rPr>
          <w:rFonts w:hint="eastAsia" w:eastAsia="微软雅黑 Light"/>
          <w:sz w:val="18"/>
          <w:szCs w:val="18"/>
        </w:rPr>
        <w:t>天津历史风貌建筑</w:t>
      </w:r>
      <w:r>
        <w:rPr>
          <w:rFonts w:hint="eastAsia" w:eastAsia="微软雅黑 Light"/>
          <w:sz w:val="18"/>
          <w:szCs w:val="18"/>
          <w:lang w:val="fr-CA"/>
        </w:rPr>
        <w:t>——</w:t>
      </w:r>
      <w:r>
        <w:rPr>
          <w:rFonts w:hint="eastAsia" w:eastAsia="微软雅黑 Light"/>
          <w:sz w:val="18"/>
          <w:szCs w:val="18"/>
        </w:rPr>
        <w:t>总览</w:t>
      </w:r>
      <w:r>
        <w:rPr>
          <w:rFonts w:hint="eastAsia" w:eastAsia="微软雅黑 Light"/>
          <w:sz w:val="18"/>
          <w:szCs w:val="18"/>
          <w:lang w:val="fr-CA"/>
        </w:rPr>
        <w:t>[M].</w:t>
      </w:r>
      <w:r>
        <w:rPr>
          <w:rFonts w:hint="eastAsia" w:eastAsia="微软雅黑 Light"/>
          <w:sz w:val="18"/>
          <w:szCs w:val="18"/>
        </w:rPr>
        <w:t>北京</w:t>
      </w:r>
      <w:r>
        <w:rPr>
          <w:rFonts w:hint="eastAsia" w:eastAsia="微软雅黑 Light"/>
          <w:sz w:val="18"/>
          <w:szCs w:val="18"/>
          <w:lang w:val="fr-CA"/>
        </w:rPr>
        <w:t>：</w:t>
      </w:r>
      <w:r>
        <w:rPr>
          <w:rFonts w:hint="eastAsia" w:eastAsia="微软雅黑 Light"/>
          <w:sz w:val="18"/>
          <w:szCs w:val="18"/>
        </w:rPr>
        <w:t>中国建筑工业出版社</w:t>
      </w:r>
      <w:r>
        <w:rPr>
          <w:rFonts w:hint="eastAsia" w:eastAsia="微软雅黑 Light"/>
          <w:sz w:val="18"/>
          <w:szCs w:val="18"/>
          <w:lang w:val="fr-CA"/>
        </w:rPr>
        <w:t>，2007.9</w:t>
      </w:r>
      <w:r>
        <w:rPr>
          <w:rFonts w:eastAsia="微软雅黑 Light"/>
          <w:sz w:val="18"/>
          <w:szCs w:val="18"/>
          <w:lang w:val="fr-CA"/>
        </w:rPr>
        <w:t xml:space="preserve"> </w:t>
      </w:r>
    </w:p>
    <w:p w14:paraId="1DFDFECE">
      <w:pPr>
        <w:ind w:firstLine="0" w:firstLineChars="0"/>
        <w:rPr>
          <w:rFonts w:eastAsia="微软雅黑 Light"/>
          <w:sz w:val="18"/>
          <w:szCs w:val="18"/>
          <w:lang w:val="fr-CA"/>
        </w:rPr>
      </w:pPr>
      <w:r>
        <w:rPr>
          <w:rFonts w:hint="eastAsia" w:eastAsia="微软雅黑 Light"/>
          <w:sz w:val="18"/>
          <w:szCs w:val="18"/>
        </w:rPr>
        <w:t>图</w:t>
      </w:r>
      <w:r>
        <w:rPr>
          <w:rFonts w:hint="eastAsia" w:eastAsia="微软雅黑 Light"/>
          <w:sz w:val="18"/>
          <w:szCs w:val="18"/>
          <w:lang w:val="fr-CA"/>
        </w:rPr>
        <w:t>8：C.F.E.O.Album，Archives nationales de Belgique, Brussels.</w:t>
      </w:r>
    </w:p>
    <w:p w14:paraId="3424DB63">
      <w:pPr>
        <w:ind w:firstLine="0" w:firstLineChars="0"/>
        <w:rPr>
          <w:rFonts w:eastAsia="微软雅黑 Light"/>
          <w:sz w:val="18"/>
          <w:szCs w:val="18"/>
          <w:lang w:val="fr-CA"/>
        </w:rPr>
      </w:pPr>
      <w:r>
        <w:rPr>
          <w:rFonts w:hint="eastAsia" w:eastAsia="微软雅黑 Light"/>
          <w:sz w:val="18"/>
          <w:szCs w:val="18"/>
        </w:rPr>
        <w:t>图</w:t>
      </w:r>
      <w:r>
        <w:rPr>
          <w:rFonts w:hint="eastAsia" w:eastAsia="微软雅黑 Light"/>
          <w:sz w:val="18"/>
          <w:szCs w:val="18"/>
          <w:lang w:val="fr-CA"/>
        </w:rPr>
        <w:t>9：</w:t>
      </w:r>
      <w:r>
        <w:rPr>
          <w:rFonts w:hint="eastAsia" w:eastAsia="微软雅黑 Light"/>
          <w:sz w:val="18"/>
          <w:szCs w:val="18"/>
        </w:rPr>
        <w:t>作者依据原始图纸改绘</w:t>
      </w:r>
      <w:r>
        <w:rPr>
          <w:rFonts w:hint="eastAsia" w:eastAsia="微软雅黑 Light"/>
          <w:sz w:val="18"/>
          <w:szCs w:val="18"/>
          <w:lang w:val="fr-CA"/>
        </w:rPr>
        <w:t>，</w:t>
      </w:r>
      <w:r>
        <w:rPr>
          <w:rFonts w:hint="eastAsia" w:eastAsia="微软雅黑 Light"/>
          <w:sz w:val="18"/>
          <w:szCs w:val="18"/>
        </w:rPr>
        <w:t>来源</w:t>
      </w:r>
      <w:r>
        <w:rPr>
          <w:rFonts w:hint="eastAsia" w:eastAsia="微软雅黑 Light"/>
          <w:sz w:val="18"/>
          <w:szCs w:val="18"/>
          <w:lang w:val="fr-CA"/>
        </w:rPr>
        <w:t>：</w:t>
      </w:r>
      <w:r>
        <w:rPr>
          <w:rFonts w:hint="eastAsia" w:eastAsia="微软雅黑 Light"/>
          <w:sz w:val="18"/>
          <w:szCs w:val="18"/>
        </w:rPr>
        <w:t>天津市历史风貌建筑保护委员会办公室</w:t>
      </w:r>
      <w:r>
        <w:rPr>
          <w:rFonts w:hint="eastAsia" w:eastAsia="微软雅黑 Light"/>
          <w:sz w:val="18"/>
          <w:szCs w:val="18"/>
          <w:lang w:val="fr-CA"/>
        </w:rPr>
        <w:t>，</w:t>
      </w:r>
      <w:r>
        <w:rPr>
          <w:rFonts w:hint="eastAsia" w:eastAsia="微软雅黑 Light"/>
          <w:sz w:val="18"/>
          <w:szCs w:val="18"/>
        </w:rPr>
        <w:t>天津市国土资源和房屋管理局编</w:t>
      </w:r>
      <w:r>
        <w:rPr>
          <w:rFonts w:hint="eastAsia" w:eastAsia="微软雅黑 Light"/>
          <w:sz w:val="18"/>
          <w:szCs w:val="18"/>
          <w:lang w:val="fr-CA"/>
        </w:rPr>
        <w:t>.</w:t>
      </w:r>
      <w:r>
        <w:rPr>
          <w:rFonts w:hint="eastAsia" w:eastAsia="微软雅黑 Light"/>
          <w:sz w:val="18"/>
          <w:szCs w:val="18"/>
        </w:rPr>
        <w:t>天津历史风貌建筑图志</w:t>
      </w:r>
      <w:r>
        <w:rPr>
          <w:rFonts w:hint="eastAsia" w:eastAsia="微软雅黑 Light"/>
          <w:sz w:val="18"/>
          <w:szCs w:val="18"/>
          <w:lang w:val="fr-CA"/>
        </w:rPr>
        <w:t>[M].</w:t>
      </w:r>
      <w:r>
        <w:rPr>
          <w:rFonts w:hint="eastAsia" w:eastAsia="微软雅黑 Light"/>
          <w:sz w:val="18"/>
          <w:szCs w:val="18"/>
        </w:rPr>
        <w:t>天津</w:t>
      </w:r>
      <w:r>
        <w:rPr>
          <w:rFonts w:hint="eastAsia" w:eastAsia="微软雅黑 Light"/>
          <w:sz w:val="18"/>
          <w:szCs w:val="18"/>
          <w:lang w:val="fr-CA"/>
        </w:rPr>
        <w:t>：</w:t>
      </w:r>
      <w:r>
        <w:rPr>
          <w:rFonts w:hint="eastAsia" w:eastAsia="微软雅黑 Light"/>
          <w:sz w:val="18"/>
          <w:szCs w:val="18"/>
        </w:rPr>
        <w:t>天津大学出版社</w:t>
      </w:r>
      <w:r>
        <w:rPr>
          <w:rFonts w:hint="eastAsia" w:eastAsia="微软雅黑 Light"/>
          <w:sz w:val="18"/>
          <w:szCs w:val="18"/>
          <w:lang w:val="fr-CA"/>
        </w:rPr>
        <w:t>，2012.11</w:t>
      </w:r>
    </w:p>
    <w:p w14:paraId="05012170">
      <w:pPr>
        <w:ind w:firstLine="0" w:firstLineChars="0"/>
        <w:rPr>
          <w:rFonts w:eastAsia="微软雅黑 Light"/>
          <w:sz w:val="18"/>
          <w:szCs w:val="18"/>
          <w:lang w:val="fr-CA"/>
        </w:rPr>
      </w:pPr>
      <w:r>
        <w:rPr>
          <w:rFonts w:hint="eastAsia" w:eastAsia="微软雅黑 Light"/>
          <w:sz w:val="18"/>
          <w:szCs w:val="18"/>
        </w:rPr>
        <w:t>图</w:t>
      </w:r>
      <w:r>
        <w:rPr>
          <w:rFonts w:hint="eastAsia" w:eastAsia="微软雅黑 Light"/>
          <w:sz w:val="18"/>
          <w:szCs w:val="18"/>
          <w:lang w:val="fr-CA"/>
        </w:rPr>
        <w:t>10：C.F.E.O.Album，Archives nationales de Belgique, Brussels.</w:t>
      </w:r>
    </w:p>
    <w:p w14:paraId="176C6935">
      <w:pPr>
        <w:ind w:firstLine="0" w:firstLineChars="0"/>
        <w:rPr>
          <w:rFonts w:eastAsia="微软雅黑 Light"/>
          <w:sz w:val="18"/>
          <w:szCs w:val="18"/>
          <w:lang w:val="fr-CA"/>
        </w:rPr>
      </w:pPr>
      <w:r>
        <w:rPr>
          <w:rFonts w:hint="eastAsia" w:eastAsia="微软雅黑 Light"/>
          <w:sz w:val="18"/>
          <w:szCs w:val="18"/>
        </w:rPr>
        <w:t>图</w:t>
      </w:r>
      <w:r>
        <w:rPr>
          <w:rFonts w:hint="eastAsia" w:eastAsia="微软雅黑 Light"/>
          <w:sz w:val="18"/>
          <w:szCs w:val="18"/>
          <w:lang w:val="fr-CA"/>
        </w:rPr>
        <w:t>11：</w:t>
      </w:r>
      <w:r>
        <w:fldChar w:fldCharType="begin"/>
      </w:r>
      <w:r>
        <w:rPr>
          <w:lang w:val="fr-CA"/>
        </w:rPr>
        <w:instrText xml:space="preserve">HYPERLINK "https://washington.org/zh-CN/find-dc-listings/folger-shakespeare-library" \l "gallery-1"</w:instrText>
      </w:r>
      <w:r>
        <w:fldChar w:fldCharType="separate"/>
      </w:r>
      <w:r>
        <w:rPr>
          <w:rFonts w:hint="eastAsia" w:eastAsia="微软雅黑 Light"/>
          <w:sz w:val="18"/>
          <w:szCs w:val="18"/>
          <w:lang w:val="fr-CA"/>
        </w:rPr>
        <w:t>https://washington.org/zh-CN/find-dc-listings/folger-shakespeare-library#gallery-1</w:t>
      </w:r>
      <w:r>
        <w:rPr>
          <w:rFonts w:eastAsia="微软雅黑 Light"/>
          <w:sz w:val="18"/>
          <w:szCs w:val="18"/>
          <w:lang w:val="fr-CA"/>
        </w:rPr>
        <w:fldChar w:fldCharType="end"/>
      </w:r>
    </w:p>
    <w:p w14:paraId="350CCD7A">
      <w:pPr>
        <w:ind w:firstLine="0" w:firstLineChars="0"/>
        <w:rPr>
          <w:rFonts w:eastAsia="微软雅黑 Light"/>
          <w:sz w:val="18"/>
          <w:szCs w:val="18"/>
          <w:lang w:val="fr-CA"/>
        </w:rPr>
      </w:pPr>
      <w:r>
        <w:rPr>
          <w:rFonts w:hint="eastAsia" w:eastAsia="微软雅黑 Light"/>
          <w:sz w:val="18"/>
          <w:szCs w:val="18"/>
        </w:rPr>
        <w:t>图</w:t>
      </w:r>
      <w:r>
        <w:rPr>
          <w:rFonts w:hint="eastAsia" w:eastAsia="微软雅黑 Light"/>
          <w:sz w:val="18"/>
          <w:szCs w:val="18"/>
          <w:lang w:val="fr-CA"/>
        </w:rPr>
        <w:t>12：C.F.E.O.Album，Archives nationales de Belgique, Brussels.</w:t>
      </w:r>
    </w:p>
    <w:p w14:paraId="47339624">
      <w:pPr>
        <w:ind w:firstLine="0" w:firstLineChars="0"/>
        <w:rPr>
          <w:rFonts w:eastAsia="微软雅黑 Light"/>
          <w:sz w:val="18"/>
          <w:szCs w:val="18"/>
          <w:lang w:val="fr-CA"/>
        </w:rPr>
      </w:pPr>
      <w:r>
        <w:rPr>
          <w:rFonts w:hint="eastAsia" w:eastAsia="微软雅黑 Light"/>
          <w:sz w:val="18"/>
          <w:szCs w:val="18"/>
        </w:rPr>
        <w:t>图</w:t>
      </w:r>
      <w:r>
        <w:rPr>
          <w:rFonts w:hint="eastAsia" w:eastAsia="微软雅黑 Light"/>
          <w:sz w:val="18"/>
          <w:szCs w:val="18"/>
          <w:lang w:val="fr-CA"/>
        </w:rPr>
        <w:t>13：1175, C.F.E.O. Archives nationales de Belgique, Brussels.</w:t>
      </w:r>
    </w:p>
    <w:p w14:paraId="2113AE3C">
      <w:pPr>
        <w:ind w:firstLine="0" w:firstLineChars="0"/>
        <w:rPr>
          <w:rFonts w:eastAsia="微软雅黑 Light"/>
          <w:sz w:val="18"/>
          <w:szCs w:val="18"/>
          <w:lang w:val="fr-CA"/>
        </w:rPr>
      </w:pPr>
      <w:r>
        <w:rPr>
          <w:rFonts w:hint="eastAsia" w:eastAsia="微软雅黑 Light"/>
          <w:sz w:val="18"/>
          <w:szCs w:val="18"/>
        </w:rPr>
        <w:t>图</w:t>
      </w:r>
      <w:r>
        <w:rPr>
          <w:rFonts w:hint="eastAsia" w:eastAsia="微软雅黑 Light"/>
          <w:sz w:val="18"/>
          <w:szCs w:val="18"/>
          <w:lang w:val="fr-CA"/>
        </w:rPr>
        <w:t>14：https://zh.wikipedia.org</w:t>
      </w:r>
    </w:p>
    <w:p w14:paraId="0B0FEE65">
      <w:pPr>
        <w:ind w:firstLine="0" w:firstLineChars="0"/>
        <w:rPr>
          <w:rFonts w:eastAsia="微软雅黑 Light"/>
          <w:sz w:val="18"/>
          <w:szCs w:val="18"/>
        </w:rPr>
      </w:pPr>
      <w:r>
        <w:rPr>
          <w:rFonts w:hint="eastAsia" w:eastAsia="微软雅黑 Light"/>
          <w:sz w:val="18"/>
          <w:szCs w:val="18"/>
        </w:rPr>
        <w:t>图</w:t>
      </w:r>
      <w:r>
        <w:rPr>
          <w:rFonts w:hint="eastAsia" w:eastAsia="微软雅黑 Light"/>
          <w:sz w:val="18"/>
          <w:szCs w:val="18"/>
          <w:lang w:val="fr-CA"/>
        </w:rPr>
        <w:t>15：</w:t>
      </w:r>
      <w:r>
        <w:rPr>
          <w:rFonts w:eastAsia="微软雅黑 Light"/>
          <w:sz w:val="18"/>
          <w:szCs w:val="18"/>
          <w:lang w:val="fr-CA"/>
        </w:rPr>
        <w:t>Archives françaises de la Compagnie de Jésus</w:t>
      </w:r>
      <w:r>
        <w:rPr>
          <w:rFonts w:hint="eastAsia" w:eastAsia="微软雅黑 Light"/>
          <w:sz w:val="18"/>
          <w:szCs w:val="18"/>
          <w:lang w:val="fr-CA"/>
        </w:rPr>
        <w:t xml:space="preserve">，H2， Tientsin. Institut des Hautes Etudes Industrielles et Commerciales. </w:t>
      </w:r>
      <w:r>
        <w:rPr>
          <w:rFonts w:hint="eastAsia" w:eastAsia="微软雅黑 Light"/>
          <w:sz w:val="18"/>
          <w:szCs w:val="18"/>
        </w:rPr>
        <w:t>Musée Licent</w:t>
      </w:r>
    </w:p>
    <w:p w14:paraId="7D394DD0">
      <w:pPr>
        <w:ind w:firstLine="0" w:firstLineChars="0"/>
        <w:rPr>
          <w:rFonts w:eastAsia="微软雅黑 Light"/>
          <w:sz w:val="18"/>
          <w:szCs w:val="18"/>
        </w:rPr>
      </w:pPr>
      <w:r>
        <w:rPr>
          <w:rFonts w:hint="eastAsia" w:eastAsia="微软雅黑 Light"/>
          <w:sz w:val="18"/>
          <w:szCs w:val="18"/>
        </w:rPr>
        <w:t>图16：天津市历史风貌建筑保护委员会办公室，天津市国土资源和房屋管理局编.天津历史风貌建筑图志[M].天津：天津大学出版社，2012.11</w:t>
      </w:r>
    </w:p>
    <w:p w14:paraId="1A6B1C73">
      <w:pPr>
        <w:ind w:firstLine="0" w:firstLineChars="0"/>
        <w:rPr>
          <w:rFonts w:eastAsia="微软雅黑 Light"/>
          <w:sz w:val="18"/>
          <w:szCs w:val="18"/>
        </w:rPr>
      </w:pPr>
      <w:r>
        <w:rPr>
          <w:rFonts w:hint="eastAsia" w:eastAsia="微软雅黑 Light"/>
          <w:sz w:val="18"/>
          <w:szCs w:val="18"/>
        </w:rPr>
        <w:t>图17：C.F.E.O.Album，Archives nationales de Belgique, Brussels.</w:t>
      </w:r>
    </w:p>
    <w:p w14:paraId="1A2F333C">
      <w:pPr>
        <w:pStyle w:val="4"/>
        <w:ind w:firstLine="3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宋体">
    <w:panose1 w:val="02010600040101010101"/>
    <w:charset w:val="86"/>
    <w:family w:val="auto"/>
    <w:pitch w:val="default"/>
    <w:sig w:usb0="00000287" w:usb1="080F0000" w:usb2="00000000" w:usb3="00000000" w:csb0="0004009F" w:csb1="DFD70000"/>
  </w:font>
  <w:font w:name="微软雅黑 Light">
    <w:panose1 w:val="020B0502040204020203"/>
    <w:charset w:val="86"/>
    <w:family w:val="swiss"/>
    <w:pitch w:val="default"/>
    <w:sig w:usb0="80000287" w:usb1="2ACF0010" w:usb2="00000016" w:usb3="00000000" w:csb0="0004001F" w:csb1="00000000"/>
  </w:font>
  <w:font w:name="Helvetica">
    <w:altName w:val="Arial"/>
    <w:panose1 w:val="020B0604020202020204"/>
    <w:charset w:val="00"/>
    <w:family w:val="swiss"/>
    <w:pitch w:val="default"/>
    <w:sig w:usb0="00000000" w:usb1="00000000" w:usb2="00000009" w:usb3="00000000" w:csb0="000001FF" w:csb1="00000000"/>
  </w:font>
  <w:font w:name="华文细黑">
    <w:panose1 w:val="02010600040101010101"/>
    <w:charset w:val="86"/>
    <w:family w:val="auto"/>
    <w:pitch w:val="default"/>
    <w:sig w:usb0="00000287" w:usb1="080F0000" w:usb2="00000000" w:usb3="00000000" w:csb0="0004009F" w:csb1="DFD7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67192177"/>
    </w:sdtPr>
    <w:sdtContent>
      <w:p w14:paraId="15987837">
        <w:pPr>
          <w:pStyle w:val="5"/>
          <w:ind w:firstLine="360"/>
          <w:jc w:val="center"/>
        </w:pPr>
        <w:r>
          <w:fldChar w:fldCharType="begin"/>
        </w:r>
        <w:r>
          <w:instrText xml:space="preserve">PAGE   \* MERGEFORMAT</w:instrText>
        </w:r>
        <w:r>
          <w:fldChar w:fldCharType="separate"/>
        </w:r>
        <w:r>
          <w:rPr>
            <w:lang w:val="zh-CN"/>
          </w:rPr>
          <w:t>2</w:t>
        </w:r>
        <w:r>
          <w:fldChar w:fldCharType="end"/>
        </w:r>
      </w:p>
    </w:sdtContent>
  </w:sdt>
  <w:p w14:paraId="3186A9AF">
    <w:pPr>
      <w:pStyle w:val="5"/>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6FF96B">
    <w:pPr>
      <w:pStyle w:val="5"/>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39DE64">
    <w:pPr>
      <w:pStyle w:val="5"/>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480"/>
      </w:pPr>
    </w:p>
  </w:footnote>
  <w:footnote w:type="continuationSeparator" w:id="1">
    <w:p>
      <w:pPr>
        <w:ind w:firstLine="48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F85E9E">
    <w:pPr>
      <w:pStyle w:val="6"/>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4D3834">
    <w:pPr>
      <w:pStyle w:val="6"/>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1BE69F">
    <w:pPr>
      <w:pStyle w:val="6"/>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95AFE5E"/>
    <w:multiLevelType w:val="singleLevel"/>
    <w:tmpl w:val="395AFE5E"/>
    <w:lvl w:ilvl="0" w:tentative="0">
      <w:start w:val="1"/>
      <w:numFmt w:val="decimal"/>
      <w:lvlText w:val="%1."/>
      <w:lvlJc w:val="left"/>
      <w:pPr>
        <w:tabs>
          <w:tab w:val="left" w:pos="312"/>
        </w:tabs>
      </w:pPr>
    </w:lvl>
  </w:abstractNum>
  <w:abstractNum w:abstractNumId="1">
    <w:nsid w:val="43D7ECD3"/>
    <w:multiLevelType w:val="singleLevel"/>
    <w:tmpl w:val="43D7ECD3"/>
    <w:lvl w:ilvl="0" w:tentative="0">
      <w:start w:val="2"/>
      <w:numFmt w:val="chineseCounting"/>
      <w:suff w:val="nothing"/>
      <w:lvlText w:val="%1、"/>
      <w:lvlJc w:val="left"/>
      <w:rPr>
        <w:rFonts w:hint="eastAsia"/>
      </w:rPr>
    </w:lvl>
  </w:abstractNum>
  <w:abstractNum w:abstractNumId="2">
    <w:nsid w:val="62B8C1F6"/>
    <w:multiLevelType w:val="singleLevel"/>
    <w:tmpl w:val="62B8C1F6"/>
    <w:lvl w:ilvl="0" w:tentative="0">
      <w:start w:val="1"/>
      <w:numFmt w:val="decimal"/>
      <w:lvlText w:val="%1."/>
      <w:lvlJc w:val="left"/>
      <w:pPr>
        <w:tabs>
          <w:tab w:val="left" w:pos="312"/>
        </w:tabs>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documentProtection w:enforcement="0"/>
  <w:defaultTabStop w:val="420"/>
  <w:drawingGridVerticalSpacing w:val="156"/>
  <w:noPunctuationKerning w:val="1"/>
  <w:characterSpacingControl w:val="compressPunctuation"/>
  <w:footnotePr>
    <w:footnote w:id="0"/>
    <w:footnote w:id="1"/>
  </w:footnotePr>
  <w:endnotePr>
    <w:numFmt w:val="decimal"/>
    <w:endnote w:id="166"/>
    <w:endnote w:id="167"/>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E5NWIwODAwMTBiNzM4NTIzNjgzNDExZTE1NmFiOTYifQ=="/>
  </w:docVars>
  <w:rsids>
    <w:rsidRoot w:val="3E4312BD"/>
    <w:rsid w:val="000102D3"/>
    <w:rsid w:val="000125E0"/>
    <w:rsid w:val="00030796"/>
    <w:rsid w:val="0005531C"/>
    <w:rsid w:val="0008131B"/>
    <w:rsid w:val="00091B2C"/>
    <w:rsid w:val="00093381"/>
    <w:rsid w:val="0009713B"/>
    <w:rsid w:val="000A1AB5"/>
    <w:rsid w:val="000B3414"/>
    <w:rsid w:val="0010288E"/>
    <w:rsid w:val="001339A9"/>
    <w:rsid w:val="001516F7"/>
    <w:rsid w:val="00185D46"/>
    <w:rsid w:val="00191D11"/>
    <w:rsid w:val="001A3DB9"/>
    <w:rsid w:val="001A6840"/>
    <w:rsid w:val="001D16CB"/>
    <w:rsid w:val="001D51FA"/>
    <w:rsid w:val="001E3EF2"/>
    <w:rsid w:val="001E72C8"/>
    <w:rsid w:val="001F0F50"/>
    <w:rsid w:val="002016DC"/>
    <w:rsid w:val="00236322"/>
    <w:rsid w:val="0024444E"/>
    <w:rsid w:val="00247E6A"/>
    <w:rsid w:val="00252DC7"/>
    <w:rsid w:val="00254C91"/>
    <w:rsid w:val="0027576B"/>
    <w:rsid w:val="00297C86"/>
    <w:rsid w:val="002B0303"/>
    <w:rsid w:val="002D6280"/>
    <w:rsid w:val="002D63DC"/>
    <w:rsid w:val="00345FBA"/>
    <w:rsid w:val="003641A7"/>
    <w:rsid w:val="0036778B"/>
    <w:rsid w:val="003A1C1E"/>
    <w:rsid w:val="003A4911"/>
    <w:rsid w:val="003A4C55"/>
    <w:rsid w:val="003E4A07"/>
    <w:rsid w:val="00416F39"/>
    <w:rsid w:val="00417C3A"/>
    <w:rsid w:val="0043081B"/>
    <w:rsid w:val="004329F9"/>
    <w:rsid w:val="00457AC3"/>
    <w:rsid w:val="00464717"/>
    <w:rsid w:val="00491013"/>
    <w:rsid w:val="004C3845"/>
    <w:rsid w:val="005062C7"/>
    <w:rsid w:val="0052306C"/>
    <w:rsid w:val="00525B97"/>
    <w:rsid w:val="00525FD9"/>
    <w:rsid w:val="0053660E"/>
    <w:rsid w:val="005530EA"/>
    <w:rsid w:val="0056413E"/>
    <w:rsid w:val="0056590F"/>
    <w:rsid w:val="00577C6E"/>
    <w:rsid w:val="005B47FE"/>
    <w:rsid w:val="005C7F3B"/>
    <w:rsid w:val="005D49A3"/>
    <w:rsid w:val="005D612C"/>
    <w:rsid w:val="005F4FF9"/>
    <w:rsid w:val="0062585E"/>
    <w:rsid w:val="00631092"/>
    <w:rsid w:val="006455C1"/>
    <w:rsid w:val="00650B47"/>
    <w:rsid w:val="0065271F"/>
    <w:rsid w:val="00655C82"/>
    <w:rsid w:val="006562BC"/>
    <w:rsid w:val="00690F01"/>
    <w:rsid w:val="006966A3"/>
    <w:rsid w:val="006B708A"/>
    <w:rsid w:val="006D185C"/>
    <w:rsid w:val="006D2D4E"/>
    <w:rsid w:val="00707174"/>
    <w:rsid w:val="00710CCA"/>
    <w:rsid w:val="00734F11"/>
    <w:rsid w:val="00757EE0"/>
    <w:rsid w:val="00783990"/>
    <w:rsid w:val="007B7BBD"/>
    <w:rsid w:val="007C69CD"/>
    <w:rsid w:val="007D6B1E"/>
    <w:rsid w:val="007D7BA9"/>
    <w:rsid w:val="00812CE6"/>
    <w:rsid w:val="008132AF"/>
    <w:rsid w:val="008532E1"/>
    <w:rsid w:val="0086160A"/>
    <w:rsid w:val="00862CD3"/>
    <w:rsid w:val="008A5CE2"/>
    <w:rsid w:val="008C3970"/>
    <w:rsid w:val="008D0843"/>
    <w:rsid w:val="008D1D3D"/>
    <w:rsid w:val="00924CD2"/>
    <w:rsid w:val="0093428F"/>
    <w:rsid w:val="00936EBA"/>
    <w:rsid w:val="00947622"/>
    <w:rsid w:val="0099235F"/>
    <w:rsid w:val="009A6B59"/>
    <w:rsid w:val="009B121A"/>
    <w:rsid w:val="009C0702"/>
    <w:rsid w:val="009C1BC1"/>
    <w:rsid w:val="009D730A"/>
    <w:rsid w:val="00A12BCF"/>
    <w:rsid w:val="00A500BD"/>
    <w:rsid w:val="00A6505B"/>
    <w:rsid w:val="00A9566F"/>
    <w:rsid w:val="00A9695B"/>
    <w:rsid w:val="00AA5D37"/>
    <w:rsid w:val="00AB0A76"/>
    <w:rsid w:val="00AB7C50"/>
    <w:rsid w:val="00B0769E"/>
    <w:rsid w:val="00B21271"/>
    <w:rsid w:val="00B25657"/>
    <w:rsid w:val="00B25BA0"/>
    <w:rsid w:val="00B340C6"/>
    <w:rsid w:val="00B3469B"/>
    <w:rsid w:val="00B420E5"/>
    <w:rsid w:val="00B52571"/>
    <w:rsid w:val="00B72F0F"/>
    <w:rsid w:val="00BD6F81"/>
    <w:rsid w:val="00BE1874"/>
    <w:rsid w:val="00BF4426"/>
    <w:rsid w:val="00C02A16"/>
    <w:rsid w:val="00C065AD"/>
    <w:rsid w:val="00C10CA1"/>
    <w:rsid w:val="00C11203"/>
    <w:rsid w:val="00C349C1"/>
    <w:rsid w:val="00C71831"/>
    <w:rsid w:val="00CA2A0C"/>
    <w:rsid w:val="00CA5D60"/>
    <w:rsid w:val="00CB0208"/>
    <w:rsid w:val="00CD474C"/>
    <w:rsid w:val="00CF0954"/>
    <w:rsid w:val="00D13016"/>
    <w:rsid w:val="00D31CF3"/>
    <w:rsid w:val="00D60651"/>
    <w:rsid w:val="00D75B0B"/>
    <w:rsid w:val="00D94FA7"/>
    <w:rsid w:val="00DE604A"/>
    <w:rsid w:val="00DF62BA"/>
    <w:rsid w:val="00E16854"/>
    <w:rsid w:val="00E169AF"/>
    <w:rsid w:val="00E233EF"/>
    <w:rsid w:val="00E47445"/>
    <w:rsid w:val="00E55B58"/>
    <w:rsid w:val="00E57E72"/>
    <w:rsid w:val="00E96D27"/>
    <w:rsid w:val="00EA0766"/>
    <w:rsid w:val="00EB1D77"/>
    <w:rsid w:val="00EC0D38"/>
    <w:rsid w:val="00EC69F4"/>
    <w:rsid w:val="00F00556"/>
    <w:rsid w:val="00F217B6"/>
    <w:rsid w:val="00F4693C"/>
    <w:rsid w:val="00F55849"/>
    <w:rsid w:val="00F578BA"/>
    <w:rsid w:val="00F65F5F"/>
    <w:rsid w:val="00F73225"/>
    <w:rsid w:val="00F832E8"/>
    <w:rsid w:val="00F86900"/>
    <w:rsid w:val="00FA08F7"/>
    <w:rsid w:val="00FA1174"/>
    <w:rsid w:val="00FC0F72"/>
    <w:rsid w:val="02FB7799"/>
    <w:rsid w:val="031A74A5"/>
    <w:rsid w:val="042F6B46"/>
    <w:rsid w:val="04AD649B"/>
    <w:rsid w:val="04B640BA"/>
    <w:rsid w:val="054D592E"/>
    <w:rsid w:val="05A66033"/>
    <w:rsid w:val="06EB0BBA"/>
    <w:rsid w:val="071D5533"/>
    <w:rsid w:val="080B2B96"/>
    <w:rsid w:val="08745CDD"/>
    <w:rsid w:val="087C5860"/>
    <w:rsid w:val="097430E9"/>
    <w:rsid w:val="0AD7371A"/>
    <w:rsid w:val="0B732F2C"/>
    <w:rsid w:val="0C066A1E"/>
    <w:rsid w:val="0E362F17"/>
    <w:rsid w:val="0EAA6EC2"/>
    <w:rsid w:val="0EDE6D9E"/>
    <w:rsid w:val="0EFC61E2"/>
    <w:rsid w:val="100B407B"/>
    <w:rsid w:val="132A2A6A"/>
    <w:rsid w:val="138A52B7"/>
    <w:rsid w:val="13F13F47"/>
    <w:rsid w:val="142F4AFC"/>
    <w:rsid w:val="15F0378C"/>
    <w:rsid w:val="165B2F3A"/>
    <w:rsid w:val="1664316F"/>
    <w:rsid w:val="1699418F"/>
    <w:rsid w:val="16D04F41"/>
    <w:rsid w:val="17142412"/>
    <w:rsid w:val="18041CFE"/>
    <w:rsid w:val="184E04D2"/>
    <w:rsid w:val="185E7FDD"/>
    <w:rsid w:val="18B52DD6"/>
    <w:rsid w:val="18CB6C94"/>
    <w:rsid w:val="1B8F790E"/>
    <w:rsid w:val="1BF01C85"/>
    <w:rsid w:val="1C3B4058"/>
    <w:rsid w:val="1CA64EB3"/>
    <w:rsid w:val="1E214A6A"/>
    <w:rsid w:val="1E6A4332"/>
    <w:rsid w:val="1EA53E7D"/>
    <w:rsid w:val="1EC51899"/>
    <w:rsid w:val="1F17092F"/>
    <w:rsid w:val="1F2B579E"/>
    <w:rsid w:val="20312E9D"/>
    <w:rsid w:val="20405490"/>
    <w:rsid w:val="205436B0"/>
    <w:rsid w:val="21B75E11"/>
    <w:rsid w:val="21B86351"/>
    <w:rsid w:val="21FB0FBA"/>
    <w:rsid w:val="22635651"/>
    <w:rsid w:val="22CE5189"/>
    <w:rsid w:val="22E26F42"/>
    <w:rsid w:val="231956EA"/>
    <w:rsid w:val="238E4F6E"/>
    <w:rsid w:val="23B73BB5"/>
    <w:rsid w:val="252217F3"/>
    <w:rsid w:val="26AA5F44"/>
    <w:rsid w:val="26DA5221"/>
    <w:rsid w:val="26E451CD"/>
    <w:rsid w:val="27A209C9"/>
    <w:rsid w:val="27FC457D"/>
    <w:rsid w:val="2818375F"/>
    <w:rsid w:val="28771E56"/>
    <w:rsid w:val="28A11F36"/>
    <w:rsid w:val="28D73D24"/>
    <w:rsid w:val="29237212"/>
    <w:rsid w:val="2A5A31DC"/>
    <w:rsid w:val="2C451B52"/>
    <w:rsid w:val="2CFF241A"/>
    <w:rsid w:val="2E0D695C"/>
    <w:rsid w:val="2EA63495"/>
    <w:rsid w:val="2EF16A54"/>
    <w:rsid w:val="2F7215C9"/>
    <w:rsid w:val="307B625B"/>
    <w:rsid w:val="30F57DBC"/>
    <w:rsid w:val="319656B6"/>
    <w:rsid w:val="31C05B41"/>
    <w:rsid w:val="324F3EDA"/>
    <w:rsid w:val="330C341A"/>
    <w:rsid w:val="338E0725"/>
    <w:rsid w:val="33993AA7"/>
    <w:rsid w:val="33AE588A"/>
    <w:rsid w:val="33E16D1D"/>
    <w:rsid w:val="34D30C0E"/>
    <w:rsid w:val="34DB551B"/>
    <w:rsid w:val="351D5B33"/>
    <w:rsid w:val="35AA0B72"/>
    <w:rsid w:val="36EE3C2B"/>
    <w:rsid w:val="372A0F2C"/>
    <w:rsid w:val="38842B37"/>
    <w:rsid w:val="38F35011"/>
    <w:rsid w:val="39F83134"/>
    <w:rsid w:val="3A115E57"/>
    <w:rsid w:val="3A744447"/>
    <w:rsid w:val="3B2A4B36"/>
    <w:rsid w:val="3CC46A0F"/>
    <w:rsid w:val="3DBE1C27"/>
    <w:rsid w:val="3E4312BD"/>
    <w:rsid w:val="3E8E35FE"/>
    <w:rsid w:val="3ED2694C"/>
    <w:rsid w:val="3F746C97"/>
    <w:rsid w:val="40A77E6F"/>
    <w:rsid w:val="40BA3E1C"/>
    <w:rsid w:val="41EA3241"/>
    <w:rsid w:val="41F07BCB"/>
    <w:rsid w:val="421F549C"/>
    <w:rsid w:val="42336B9F"/>
    <w:rsid w:val="43C71A8C"/>
    <w:rsid w:val="44BE4733"/>
    <w:rsid w:val="452E7259"/>
    <w:rsid w:val="47690EC7"/>
    <w:rsid w:val="489720DC"/>
    <w:rsid w:val="48C14371"/>
    <w:rsid w:val="497521BF"/>
    <w:rsid w:val="4A0550BC"/>
    <w:rsid w:val="4A1C6702"/>
    <w:rsid w:val="4A317C5F"/>
    <w:rsid w:val="4A5B5F4A"/>
    <w:rsid w:val="4A8D20E3"/>
    <w:rsid w:val="4B410375"/>
    <w:rsid w:val="4BAB40C2"/>
    <w:rsid w:val="4BAE52DF"/>
    <w:rsid w:val="4C0E4DDF"/>
    <w:rsid w:val="4C0F1BA7"/>
    <w:rsid w:val="4CFB7E2A"/>
    <w:rsid w:val="4D09322F"/>
    <w:rsid w:val="4DF25AA6"/>
    <w:rsid w:val="4EE94781"/>
    <w:rsid w:val="4EF85620"/>
    <w:rsid w:val="4F851069"/>
    <w:rsid w:val="4F997564"/>
    <w:rsid w:val="501A5823"/>
    <w:rsid w:val="528F1D85"/>
    <w:rsid w:val="53DC1C88"/>
    <w:rsid w:val="552B13B6"/>
    <w:rsid w:val="561048FC"/>
    <w:rsid w:val="568B13AC"/>
    <w:rsid w:val="57D81434"/>
    <w:rsid w:val="592E4BBC"/>
    <w:rsid w:val="595C02F8"/>
    <w:rsid w:val="5B24700F"/>
    <w:rsid w:val="5B4E5819"/>
    <w:rsid w:val="5D980BD8"/>
    <w:rsid w:val="5EE05C9A"/>
    <w:rsid w:val="5F8872E1"/>
    <w:rsid w:val="5FD73055"/>
    <w:rsid w:val="609A7985"/>
    <w:rsid w:val="60EA61F0"/>
    <w:rsid w:val="61500EBB"/>
    <w:rsid w:val="61C07462"/>
    <w:rsid w:val="61DD70CB"/>
    <w:rsid w:val="620E1BA4"/>
    <w:rsid w:val="633819FC"/>
    <w:rsid w:val="640F6E0B"/>
    <w:rsid w:val="64B654D9"/>
    <w:rsid w:val="654D2A72"/>
    <w:rsid w:val="65605444"/>
    <w:rsid w:val="65AC2438"/>
    <w:rsid w:val="65DC4ACB"/>
    <w:rsid w:val="660B2EB1"/>
    <w:rsid w:val="66C70BAE"/>
    <w:rsid w:val="69470DF5"/>
    <w:rsid w:val="694A4441"/>
    <w:rsid w:val="6A813C43"/>
    <w:rsid w:val="6B5E5F82"/>
    <w:rsid w:val="6C2607C5"/>
    <w:rsid w:val="6D9E319C"/>
    <w:rsid w:val="6E1D3E88"/>
    <w:rsid w:val="6E3F634F"/>
    <w:rsid w:val="6ED24CBD"/>
    <w:rsid w:val="70147102"/>
    <w:rsid w:val="712F001B"/>
    <w:rsid w:val="718240B5"/>
    <w:rsid w:val="71EF5B86"/>
    <w:rsid w:val="71F36F52"/>
    <w:rsid w:val="75C80B8D"/>
    <w:rsid w:val="76C30AC5"/>
    <w:rsid w:val="77124CF2"/>
    <w:rsid w:val="77303218"/>
    <w:rsid w:val="778665F6"/>
    <w:rsid w:val="789376D9"/>
    <w:rsid w:val="78B31378"/>
    <w:rsid w:val="78F63C9E"/>
    <w:rsid w:val="791663D7"/>
    <w:rsid w:val="792F0F9F"/>
    <w:rsid w:val="79D8200A"/>
    <w:rsid w:val="7A6B4218"/>
    <w:rsid w:val="7AC5017B"/>
    <w:rsid w:val="7B3E36DA"/>
    <w:rsid w:val="7B8752DD"/>
    <w:rsid w:val="7C916C7C"/>
    <w:rsid w:val="7EC66B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firstLine="200" w:firstLineChars="200"/>
      <w:jc w:val="both"/>
    </w:pPr>
    <w:rPr>
      <w:rFonts w:eastAsia="华文宋体" w:asciiTheme="minorHAnsi" w:hAnsiTheme="minorHAnsi" w:cstheme="minorBidi"/>
      <w:kern w:val="2"/>
      <w:sz w:val="24"/>
      <w:szCs w:val="24"/>
      <w:lang w:val="en-US" w:eastAsia="zh-CN" w:bidi="ar-SA"/>
    </w:rPr>
  </w:style>
  <w:style w:type="paragraph" w:styleId="2">
    <w:name w:val="heading 1"/>
    <w:basedOn w:val="1"/>
    <w:next w:val="1"/>
    <w:qFormat/>
    <w:uiPriority w:val="0"/>
    <w:pPr>
      <w:keepNext/>
      <w:keepLines/>
      <w:spacing w:before="340" w:after="330" w:line="576" w:lineRule="auto"/>
      <w:ind w:firstLine="300" w:firstLineChars="100"/>
      <w:outlineLvl w:val="0"/>
    </w:pPr>
    <w:rPr>
      <w:b/>
      <w:kern w:val="44"/>
      <w:sz w:val="28"/>
    </w:rPr>
  </w:style>
  <w:style w:type="character" w:default="1" w:styleId="12">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3">
    <w:name w:val="annotation text"/>
    <w:basedOn w:val="1"/>
    <w:link w:val="20"/>
    <w:qFormat/>
    <w:uiPriority w:val="0"/>
    <w:pPr>
      <w:jc w:val="left"/>
    </w:pPr>
  </w:style>
  <w:style w:type="paragraph" w:styleId="4">
    <w:name w:val="endnote text"/>
    <w:basedOn w:val="1"/>
    <w:link w:val="26"/>
    <w:qFormat/>
    <w:uiPriority w:val="0"/>
    <w:pPr>
      <w:snapToGrid w:val="0"/>
      <w:jc w:val="left"/>
    </w:pPr>
    <w:rPr>
      <w:rFonts w:eastAsia="微软雅黑 Light"/>
      <w:sz w:val="18"/>
    </w:rPr>
  </w:style>
  <w:style w:type="paragraph" w:styleId="5">
    <w:name w:val="footer"/>
    <w:basedOn w:val="1"/>
    <w:link w:val="23"/>
    <w:qFormat/>
    <w:uiPriority w:val="99"/>
    <w:pPr>
      <w:tabs>
        <w:tab w:val="center" w:pos="4153"/>
        <w:tab w:val="right" w:pos="8306"/>
      </w:tabs>
      <w:snapToGrid w:val="0"/>
      <w:jc w:val="left"/>
    </w:pPr>
    <w:rPr>
      <w:sz w:val="18"/>
      <w:szCs w:val="18"/>
    </w:rPr>
  </w:style>
  <w:style w:type="paragraph" w:styleId="6">
    <w:name w:val="header"/>
    <w:basedOn w:val="1"/>
    <w:link w:val="22"/>
    <w:qFormat/>
    <w:uiPriority w:val="0"/>
    <w:pPr>
      <w:tabs>
        <w:tab w:val="center" w:pos="4153"/>
        <w:tab w:val="right" w:pos="8306"/>
      </w:tabs>
      <w:snapToGrid w:val="0"/>
      <w:jc w:val="center"/>
    </w:pPr>
    <w:rPr>
      <w:sz w:val="18"/>
      <w:szCs w:val="18"/>
    </w:rPr>
  </w:style>
  <w:style w:type="paragraph" w:styleId="7">
    <w:name w:val="footnote text"/>
    <w:basedOn w:val="1"/>
    <w:link w:val="24"/>
    <w:qFormat/>
    <w:uiPriority w:val="0"/>
    <w:pPr>
      <w:snapToGrid w:val="0"/>
      <w:jc w:val="left"/>
    </w:pPr>
    <w:rPr>
      <w:sz w:val="18"/>
    </w:rPr>
  </w:style>
  <w:style w:type="paragraph" w:styleId="8">
    <w:name w:val="Normal (Web)"/>
    <w:basedOn w:val="1"/>
    <w:qFormat/>
    <w:uiPriority w:val="0"/>
    <w:pPr>
      <w:spacing w:beforeAutospacing="1" w:afterAutospacing="1"/>
      <w:jc w:val="left"/>
    </w:pPr>
    <w:rPr>
      <w:rFonts w:cs="Times New Roman"/>
      <w:kern w:val="0"/>
    </w:rPr>
  </w:style>
  <w:style w:type="paragraph" w:styleId="9">
    <w:name w:val="annotation subject"/>
    <w:basedOn w:val="3"/>
    <w:next w:val="3"/>
    <w:link w:val="21"/>
    <w:qFormat/>
    <w:uiPriority w:val="0"/>
    <w:rPr>
      <w:b/>
      <w:bCs/>
    </w:rPr>
  </w:style>
  <w:style w:type="table" w:styleId="11">
    <w:name w:val="Table Grid"/>
    <w:basedOn w:val="10"/>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0"/>
    <w:rPr>
      <w:b/>
    </w:rPr>
  </w:style>
  <w:style w:type="character" w:styleId="14">
    <w:name w:val="endnote reference"/>
    <w:basedOn w:val="12"/>
    <w:qFormat/>
    <w:uiPriority w:val="0"/>
    <w:rPr>
      <w:vertAlign w:val="superscript"/>
    </w:rPr>
  </w:style>
  <w:style w:type="character" w:styleId="15">
    <w:name w:val="Emphasis"/>
    <w:basedOn w:val="12"/>
    <w:qFormat/>
    <w:uiPriority w:val="0"/>
    <w:rPr>
      <w:i/>
    </w:rPr>
  </w:style>
  <w:style w:type="character" w:styleId="16">
    <w:name w:val="Hyperlink"/>
    <w:basedOn w:val="12"/>
    <w:qFormat/>
    <w:uiPriority w:val="0"/>
    <w:rPr>
      <w:color w:val="0000FF"/>
      <w:u w:val="single"/>
    </w:rPr>
  </w:style>
  <w:style w:type="character" w:styleId="17">
    <w:name w:val="annotation reference"/>
    <w:basedOn w:val="12"/>
    <w:qFormat/>
    <w:uiPriority w:val="0"/>
    <w:rPr>
      <w:sz w:val="21"/>
      <w:szCs w:val="21"/>
    </w:rPr>
  </w:style>
  <w:style w:type="character" w:styleId="18">
    <w:name w:val="footnote reference"/>
    <w:basedOn w:val="12"/>
    <w:qFormat/>
    <w:uiPriority w:val="0"/>
    <w:rPr>
      <w:vertAlign w:val="superscript"/>
    </w:rPr>
  </w:style>
  <w:style w:type="paragraph" w:customStyle="1" w:styleId="19">
    <w:name w:val="修订1"/>
    <w:hidden/>
    <w:semiHidden/>
    <w:qFormat/>
    <w:uiPriority w:val="99"/>
    <w:rPr>
      <w:rFonts w:eastAsia="华文宋体" w:asciiTheme="minorHAnsi" w:hAnsiTheme="minorHAnsi" w:cstheme="minorBidi"/>
      <w:kern w:val="2"/>
      <w:sz w:val="21"/>
      <w:szCs w:val="24"/>
      <w:lang w:val="en-US" w:eastAsia="zh-CN" w:bidi="ar-SA"/>
    </w:rPr>
  </w:style>
  <w:style w:type="character" w:customStyle="1" w:styleId="20">
    <w:name w:val="批注文字 字符"/>
    <w:basedOn w:val="12"/>
    <w:link w:val="3"/>
    <w:qFormat/>
    <w:uiPriority w:val="0"/>
    <w:rPr>
      <w:rFonts w:eastAsia="华文宋体" w:asciiTheme="minorHAnsi" w:hAnsiTheme="minorHAnsi" w:cstheme="minorBidi"/>
      <w:kern w:val="2"/>
      <w:sz w:val="21"/>
      <w:szCs w:val="24"/>
    </w:rPr>
  </w:style>
  <w:style w:type="character" w:customStyle="1" w:styleId="21">
    <w:name w:val="批注主题 字符"/>
    <w:basedOn w:val="20"/>
    <w:link w:val="9"/>
    <w:qFormat/>
    <w:uiPriority w:val="0"/>
    <w:rPr>
      <w:rFonts w:eastAsia="华文宋体" w:asciiTheme="minorHAnsi" w:hAnsiTheme="minorHAnsi" w:cstheme="minorBidi"/>
      <w:b/>
      <w:bCs/>
      <w:kern w:val="2"/>
      <w:sz w:val="21"/>
      <w:szCs w:val="24"/>
    </w:rPr>
  </w:style>
  <w:style w:type="character" w:customStyle="1" w:styleId="22">
    <w:name w:val="页眉 字符"/>
    <w:basedOn w:val="12"/>
    <w:link w:val="6"/>
    <w:qFormat/>
    <w:uiPriority w:val="0"/>
    <w:rPr>
      <w:rFonts w:eastAsia="华文宋体" w:asciiTheme="minorHAnsi" w:hAnsiTheme="minorHAnsi" w:cstheme="minorBidi"/>
      <w:kern w:val="2"/>
      <w:sz w:val="18"/>
      <w:szCs w:val="18"/>
    </w:rPr>
  </w:style>
  <w:style w:type="character" w:customStyle="1" w:styleId="23">
    <w:name w:val="页脚 字符"/>
    <w:basedOn w:val="12"/>
    <w:link w:val="5"/>
    <w:qFormat/>
    <w:uiPriority w:val="99"/>
    <w:rPr>
      <w:rFonts w:eastAsia="华文宋体" w:asciiTheme="minorHAnsi" w:hAnsiTheme="minorHAnsi" w:cstheme="minorBidi"/>
      <w:kern w:val="2"/>
      <w:sz w:val="18"/>
      <w:szCs w:val="18"/>
    </w:rPr>
  </w:style>
  <w:style w:type="character" w:customStyle="1" w:styleId="24">
    <w:name w:val="脚注文本 字符"/>
    <w:basedOn w:val="12"/>
    <w:link w:val="7"/>
    <w:qFormat/>
    <w:uiPriority w:val="0"/>
    <w:rPr>
      <w:rFonts w:eastAsia="华文宋体" w:asciiTheme="minorHAnsi" w:hAnsiTheme="minorHAnsi" w:cstheme="minorBidi"/>
      <w:kern w:val="2"/>
      <w:sz w:val="18"/>
      <w:szCs w:val="24"/>
    </w:rPr>
  </w:style>
  <w:style w:type="character" w:customStyle="1" w:styleId="25">
    <w:name w:val="未处理的提及1"/>
    <w:basedOn w:val="12"/>
    <w:semiHidden/>
    <w:unhideWhenUsed/>
    <w:qFormat/>
    <w:uiPriority w:val="99"/>
    <w:rPr>
      <w:color w:val="605E5C"/>
      <w:shd w:val="clear" w:color="auto" w:fill="E1DFDD"/>
    </w:rPr>
  </w:style>
  <w:style w:type="character" w:customStyle="1" w:styleId="26">
    <w:name w:val="尾注文本 字符"/>
    <w:basedOn w:val="12"/>
    <w:link w:val="4"/>
    <w:qFormat/>
    <w:uiPriority w:val="0"/>
    <w:rPr>
      <w:rFonts w:eastAsia="微软雅黑 Light" w:asciiTheme="minorHAnsi" w:hAnsiTheme="minorHAnsi" w:cstheme="minorBidi"/>
      <w:kern w:val="2"/>
      <w:sz w:val="18"/>
      <w:szCs w:val="24"/>
    </w:rPr>
  </w:style>
  <w:style w:type="paragraph" w:customStyle="1" w:styleId="27">
    <w:name w:val="Revision"/>
    <w:hidden/>
    <w:unhideWhenUsed/>
    <w:uiPriority w:val="99"/>
    <w:rPr>
      <w:rFonts w:eastAsia="华文宋体" w:asciiTheme="minorHAnsi" w:hAnsiTheme="minorHAnsi" w:cstheme="minorBidi"/>
      <w:kern w:val="2"/>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2" Type="http://schemas.openxmlformats.org/officeDocument/2006/relationships/fontTable" Target="fontTable.xml"/><Relationship Id="rId31" Type="http://schemas.openxmlformats.org/officeDocument/2006/relationships/customXml" Target="../customXml/item1.xml"/><Relationship Id="rId30" Type="http://schemas.openxmlformats.org/officeDocument/2006/relationships/numbering" Target="numbering.xml"/><Relationship Id="rId3" Type="http://schemas.openxmlformats.org/officeDocument/2006/relationships/footnotes" Target="footnotes.xml"/><Relationship Id="rId29" Type="http://schemas.openxmlformats.org/officeDocument/2006/relationships/image" Target="media/image18.jpeg"/><Relationship Id="rId28" Type="http://schemas.openxmlformats.org/officeDocument/2006/relationships/image" Target="media/image17.jpeg"/><Relationship Id="rId27" Type="http://schemas.openxmlformats.org/officeDocument/2006/relationships/image" Target="media/image16.jpeg"/><Relationship Id="rId26" Type="http://schemas.openxmlformats.org/officeDocument/2006/relationships/image" Target="media/image15.jpeg"/><Relationship Id="rId25" Type="http://schemas.openxmlformats.org/officeDocument/2006/relationships/image" Target="media/image14.jpeg"/><Relationship Id="rId24" Type="http://schemas.openxmlformats.org/officeDocument/2006/relationships/image" Target="media/image13.jpeg"/><Relationship Id="rId23" Type="http://schemas.openxmlformats.org/officeDocument/2006/relationships/image" Target="media/image12.jpeg"/><Relationship Id="rId22" Type="http://schemas.openxmlformats.org/officeDocument/2006/relationships/image" Target="media/image11.jpeg"/><Relationship Id="rId21" Type="http://schemas.openxmlformats.org/officeDocument/2006/relationships/image" Target="media/image10.jpeg"/><Relationship Id="rId20" Type="http://schemas.openxmlformats.org/officeDocument/2006/relationships/image" Target="media/image9.jpeg"/><Relationship Id="rId2" Type="http://schemas.openxmlformats.org/officeDocument/2006/relationships/settings" Target="settings.xml"/><Relationship Id="rId19" Type="http://schemas.openxmlformats.org/officeDocument/2006/relationships/image" Target="media/image8.jpeg"/><Relationship Id="rId18" Type="http://schemas.openxmlformats.org/officeDocument/2006/relationships/image" Target="media/image7.jpeg"/><Relationship Id="rId17" Type="http://schemas.openxmlformats.org/officeDocument/2006/relationships/image" Target="media/image6.jpeg"/><Relationship Id="rId16" Type="http://schemas.openxmlformats.org/officeDocument/2006/relationships/image" Target="media/image5.jpeg"/><Relationship Id="rId15" Type="http://schemas.openxmlformats.org/officeDocument/2006/relationships/image" Target="media/image4.jpeg"/><Relationship Id="rId14" Type="http://schemas.openxmlformats.org/officeDocument/2006/relationships/image" Target="media/image3.jpeg"/><Relationship Id="rId13" Type="http://schemas.openxmlformats.org/officeDocument/2006/relationships/image" Target="media/image2.png"/><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AA4EE7-1E12-41AD-95F0-61C0CC3CD759}">
  <ds:schemaRefs/>
</ds:datastoreItem>
</file>

<file path=docProps/app.xml><?xml version="1.0" encoding="utf-8"?>
<Properties xmlns="http://schemas.openxmlformats.org/officeDocument/2006/extended-properties" xmlns:vt="http://schemas.openxmlformats.org/officeDocument/2006/docPropsVTypes">
  <Template>Normal</Template>
  <Pages>32</Pages>
  <Words>12697</Words>
  <Characters>15097</Characters>
  <Lines>115</Lines>
  <Paragraphs>32</Paragraphs>
  <TotalTime>0</TotalTime>
  <ScaleCrop>false</ScaleCrop>
  <LinksUpToDate>false</LinksUpToDate>
  <CharactersWithSpaces>15433</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2024-08-30T12:56:00Z</dcterms:created>
  <dc:creator>fuge</dc:creator>
  <cp:lastModifiedBy>fuyuxuan</cp:lastModifiedBy>
  <cp:lastPrinted>2024-08-27T06:27:00Z</cp:lastPrinted>
  <dcterms:modified xsi:type="dcterms:W3CDTF">2024-10-25T08:11:35Z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9D2181A401354C7B9C025AEE2312648C_13</vt:lpwstr>
  </property>
</Properties>
</file>