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661"/>
        </w:tabs>
        <w:ind w:firstLine="0" w:firstLineChars="0"/>
        <w:jc w:val="left"/>
        <w:outlineLvl w:val="1"/>
        <w:rPr>
          <w:rFonts w:ascii="黑体" w:hAnsi="黑体" w:eastAsia="黑体" w:cs="黑体"/>
          <w:b/>
          <w:bCs/>
          <w:sz w:val="36"/>
          <w:szCs w:val="36"/>
          <w:lang w:bidi="ar-SA"/>
        </w:rPr>
      </w:pPr>
      <w:r>
        <w:rPr>
          <w:rFonts w:hint="eastAsia" w:ascii="黑体" w:hAnsi="黑体" w:eastAsia="黑体" w:cs="黑体"/>
          <w:b/>
          <w:bCs/>
          <w:sz w:val="36"/>
          <w:szCs w:val="36"/>
          <w:lang w:bidi="ar-SA"/>
        </w:rPr>
        <w:t>几何秩序的空间衍生：弗朗切斯科·博罗米尼设计方法解析</w:t>
      </w:r>
    </w:p>
    <w:p>
      <w:pPr>
        <w:snapToGrid w:val="0"/>
        <w:spacing w:line="240" w:lineRule="auto"/>
        <w:ind w:firstLine="0" w:firstLineChars="0"/>
        <w:jc w:val="left"/>
        <w:rPr>
          <w:rFonts w:hAnsi="宋体" w:cs="宋体"/>
          <w:szCs w:val="21"/>
          <w:lang w:bidi="ar-SA"/>
        </w:rPr>
      </w:pPr>
    </w:p>
    <w:p>
      <w:pPr>
        <w:snapToGrid w:val="0"/>
        <w:spacing w:line="240" w:lineRule="auto"/>
        <w:ind w:firstLine="0" w:firstLineChars="0"/>
        <w:jc w:val="left"/>
        <w:rPr>
          <w:rFonts w:hAnsi="宋体" w:cs="宋体"/>
          <w:szCs w:val="21"/>
          <w:lang w:eastAsia="zh-Hans" w:bidi="ar-SA"/>
        </w:rPr>
      </w:pPr>
      <w:r>
        <w:rPr>
          <w:rFonts w:hint="eastAsia" w:hAnsi="宋体" w:cs="宋体"/>
          <w:szCs w:val="21"/>
          <w:lang w:bidi="ar-SA"/>
        </w:rPr>
        <w:t>张昕楠，</w:t>
      </w:r>
      <w:r>
        <w:rPr>
          <w:rFonts w:hint="eastAsia" w:hAnsi="宋体" w:cs="宋体"/>
          <w:szCs w:val="21"/>
          <w:lang w:eastAsia="zh-Hans" w:bidi="ar-SA"/>
        </w:rPr>
        <w:t>牛一凡</w:t>
      </w:r>
      <w:r>
        <w:rPr>
          <w:rFonts w:hAnsi="宋体" w:cs="宋体"/>
          <w:szCs w:val="21"/>
          <w:lang w:eastAsia="zh-Hans" w:bidi="ar-SA"/>
        </w:rPr>
        <w:t>，</w:t>
      </w:r>
      <w:r>
        <w:rPr>
          <w:rFonts w:hint="eastAsia" w:hAnsi="宋体" w:cs="宋体"/>
          <w:szCs w:val="21"/>
          <w:lang w:eastAsia="zh-Hans" w:bidi="ar-SA"/>
        </w:rPr>
        <w:t>张涛</w:t>
      </w:r>
      <w:r>
        <w:rPr>
          <w:rFonts w:hAnsi="宋体" w:cs="宋体"/>
          <w:szCs w:val="21"/>
          <w:lang w:eastAsia="zh-Hans" w:bidi="ar-SA"/>
        </w:rPr>
        <w:t>*</w:t>
      </w:r>
    </w:p>
    <w:p>
      <w:pPr>
        <w:snapToGrid w:val="0"/>
        <w:spacing w:line="240" w:lineRule="auto"/>
        <w:ind w:firstLine="0" w:firstLineChars="0"/>
        <w:jc w:val="left"/>
        <w:rPr>
          <w:rFonts w:hAnsi="宋体" w:cs="宋体"/>
          <w:szCs w:val="21"/>
          <w:lang w:eastAsia="zh-Hans" w:bidi="ar-SA"/>
        </w:rPr>
      </w:pPr>
      <w:r>
        <w:rPr>
          <w:rFonts w:hint="eastAsia" w:hAnsi="宋体" w:cs="宋体"/>
          <w:szCs w:val="21"/>
          <w:lang w:eastAsia="zh-Hans" w:bidi="ar-SA"/>
        </w:rPr>
        <w:t>ZHANG</w:t>
      </w:r>
      <w:r>
        <w:rPr>
          <w:rFonts w:hAnsi="宋体" w:cs="宋体"/>
          <w:szCs w:val="21"/>
          <w:lang w:eastAsia="zh-Hans" w:bidi="ar-SA"/>
        </w:rPr>
        <w:t xml:space="preserve"> </w:t>
      </w:r>
      <w:r>
        <w:rPr>
          <w:rFonts w:hint="eastAsia" w:hAnsi="宋体" w:cs="宋体"/>
          <w:szCs w:val="21"/>
          <w:lang w:eastAsia="zh-Hans" w:bidi="ar-SA"/>
        </w:rPr>
        <w:t>Xin</w:t>
      </w:r>
      <w:r>
        <w:rPr>
          <w:rFonts w:hAnsi="宋体" w:cs="宋体"/>
          <w:szCs w:val="21"/>
          <w:lang w:eastAsia="zh-Hans" w:bidi="ar-SA"/>
        </w:rPr>
        <w:t>-</w:t>
      </w:r>
      <w:r>
        <w:rPr>
          <w:rFonts w:hint="eastAsia" w:hAnsi="宋体" w:cs="宋体"/>
          <w:szCs w:val="21"/>
          <w:lang w:eastAsia="zh-Hans" w:bidi="ar-SA"/>
        </w:rPr>
        <w:t>nan</w:t>
      </w:r>
      <w:r>
        <w:rPr>
          <w:rFonts w:hAnsi="宋体" w:cs="宋体"/>
          <w:szCs w:val="21"/>
          <w:lang w:eastAsia="zh-Hans" w:bidi="ar-SA"/>
        </w:rPr>
        <w:t>, NIU Yi-fan, ZHANG Tao*</w:t>
      </w:r>
    </w:p>
    <w:p>
      <w:pPr>
        <w:snapToGrid w:val="0"/>
        <w:spacing w:line="240" w:lineRule="auto"/>
        <w:ind w:firstLine="0" w:firstLineChars="0"/>
        <w:jc w:val="left"/>
        <w:rPr>
          <w:rFonts w:hAnsi="宋体" w:cs="宋体"/>
          <w:sz w:val="18"/>
          <w:szCs w:val="18"/>
          <w:lang w:bidi="ar-SA"/>
        </w:rPr>
      </w:pPr>
    </w:p>
    <w:p>
      <w:pPr>
        <w:widowControl/>
        <w:snapToGrid w:val="0"/>
        <w:ind w:firstLine="0" w:firstLineChars="0"/>
        <w:jc w:val="left"/>
        <w:rPr>
          <w:rFonts w:ascii="宋体" w:hAnsi="宋体" w:cs="宋体"/>
          <w:kern w:val="0"/>
          <w:sz w:val="18"/>
          <w:szCs w:val="18"/>
          <w:lang w:bidi="ar-SA"/>
        </w:rPr>
      </w:pPr>
      <w:r>
        <w:rPr>
          <w:rFonts w:hint="eastAsia" w:ascii="宋体" w:hAnsi="宋体" w:cs="宋体"/>
          <w:kern w:val="0"/>
          <w:sz w:val="18"/>
          <w:szCs w:val="18"/>
          <w:lang w:bidi="ar-SA"/>
        </w:rPr>
        <w:t>天津大学 建筑学院，天津 300072</w:t>
      </w:r>
    </w:p>
    <w:p>
      <w:pPr>
        <w:widowControl/>
        <w:snapToGrid w:val="0"/>
        <w:ind w:firstLine="0" w:firstLineChars="0"/>
        <w:jc w:val="left"/>
        <w:rPr>
          <w:rFonts w:ascii="宋体" w:hAnsi="宋体" w:cs="宋体"/>
          <w:kern w:val="0"/>
          <w:sz w:val="18"/>
          <w:szCs w:val="18"/>
          <w:lang w:eastAsia="zh-Hans" w:bidi="ar-SA"/>
        </w:rPr>
      </w:pPr>
      <w:r>
        <w:rPr>
          <w:rFonts w:hint="eastAsia" w:ascii="宋体" w:hAnsi="宋体" w:cs="宋体"/>
          <w:kern w:val="0"/>
          <w:sz w:val="18"/>
          <w:szCs w:val="18"/>
          <w:lang w:eastAsia="zh-Hans" w:bidi="ar-SA"/>
        </w:rPr>
        <w:t>天津大学建筑设计规划研究总院有限公司</w:t>
      </w:r>
      <w:r>
        <w:rPr>
          <w:rFonts w:ascii="宋体" w:hAnsi="宋体" w:cs="宋体"/>
          <w:kern w:val="0"/>
          <w:sz w:val="18"/>
          <w:szCs w:val="18"/>
          <w:lang w:eastAsia="zh-Hans" w:bidi="ar-SA"/>
        </w:rPr>
        <w:t>，</w:t>
      </w:r>
      <w:r>
        <w:rPr>
          <w:rFonts w:hint="eastAsia" w:ascii="宋体" w:hAnsi="宋体" w:cs="宋体"/>
          <w:kern w:val="0"/>
          <w:sz w:val="18"/>
          <w:szCs w:val="18"/>
          <w:lang w:bidi="ar-SA"/>
        </w:rPr>
        <w:t>天津 300072</w:t>
      </w:r>
    </w:p>
    <w:p>
      <w:pPr>
        <w:widowControl/>
        <w:spacing w:line="240" w:lineRule="auto"/>
        <w:ind w:firstLine="0" w:firstLineChars="0"/>
        <w:jc w:val="left"/>
        <w:rPr>
          <w:rFonts w:cs="Times New Roman"/>
          <w:b/>
          <w:color w:val="000000"/>
          <w:kern w:val="0"/>
          <w:szCs w:val="21"/>
        </w:rPr>
      </w:pPr>
      <w:r>
        <w:rPr>
          <w:rFonts w:cs="Times New Roman"/>
          <w:b/>
          <w:color w:val="000000"/>
          <w:kern w:val="0"/>
          <w:szCs w:val="21"/>
        </w:rPr>
        <w:t>摘 要：</w:t>
      </w:r>
    </w:p>
    <w:p>
      <w:pPr>
        <w:widowControl/>
        <w:spacing w:line="240" w:lineRule="auto"/>
        <w:ind w:firstLine="0" w:firstLineChars="0"/>
        <w:jc w:val="left"/>
        <w:rPr>
          <w:rFonts w:cs="Times New Roman"/>
          <w:bCs/>
          <w:color w:val="000000"/>
          <w:kern w:val="0"/>
          <w:szCs w:val="21"/>
        </w:rPr>
      </w:pPr>
      <w:r>
        <w:rPr>
          <w:rFonts w:hint="eastAsia" w:cs="Times New Roman"/>
          <w:bCs/>
          <w:color w:val="0000FF"/>
          <w:kern w:val="0"/>
          <w:szCs w:val="21"/>
        </w:rPr>
        <w:t>弗朗切斯科·博罗米尼在17世纪通过几何秩序与空间塑形理念的创新，构建</w:t>
      </w:r>
      <w:r>
        <w:rPr>
          <w:rFonts w:cs="Times New Roman"/>
          <w:bCs/>
          <w:color w:val="0000FF"/>
          <w:kern w:val="0"/>
          <w:szCs w:val="21"/>
        </w:rPr>
        <w:t>以几何为控制基础、具有层级特征的建筑系统，</w:t>
      </w:r>
      <w:r>
        <w:rPr>
          <w:rFonts w:hint="eastAsia" w:cs="Times New Roman"/>
          <w:bCs/>
          <w:color w:val="0000FF"/>
          <w:kern w:val="0"/>
          <w:szCs w:val="21"/>
        </w:rPr>
        <w:t>为巴洛克建筑注入独特的表现形式。本文</w:t>
      </w:r>
      <w:r>
        <w:rPr>
          <w:rFonts w:hint="eastAsia" w:cs="Times New Roman"/>
          <w:bCs/>
          <w:color w:val="0000FF"/>
          <w:kern w:val="0"/>
          <w:szCs w:val="21"/>
          <w:lang w:val="en-US" w:eastAsia="zh-CN"/>
        </w:rPr>
        <w:t>基</w:t>
      </w:r>
      <w:r>
        <w:rPr>
          <w:rFonts w:hint="eastAsia" w:cs="Times New Roman"/>
          <w:bCs/>
          <w:color w:val="0000FF"/>
          <w:kern w:val="0"/>
          <w:szCs w:val="21"/>
        </w:rPr>
        <w:t>于其独立创作时期的代表性作品，</w:t>
      </w:r>
      <w:r>
        <w:rPr>
          <w:rFonts w:hint="eastAsia" w:cs="Times New Roman"/>
          <w:bCs/>
          <w:color w:val="000000"/>
          <w:kern w:val="0"/>
          <w:szCs w:val="21"/>
        </w:rPr>
        <w:t>从立面曲线、平面几何秩序、结构逻辑与装饰系统等维度，探讨其</w:t>
      </w:r>
      <w:r>
        <w:rPr>
          <w:rFonts w:cs="Times New Roman"/>
          <w:bCs/>
          <w:color w:val="000000"/>
          <w:kern w:val="0"/>
          <w:szCs w:val="21"/>
        </w:rPr>
        <w:t>几何秩序构建</w:t>
      </w:r>
      <w:r>
        <w:rPr>
          <w:rFonts w:hint="eastAsia" w:cs="Times New Roman"/>
          <w:bCs/>
          <w:color w:val="000000"/>
          <w:kern w:val="0"/>
          <w:szCs w:val="21"/>
        </w:rPr>
        <w:t>应对于</w:t>
      </w:r>
      <w:r>
        <w:rPr>
          <w:rFonts w:cs="Times New Roman"/>
          <w:bCs/>
          <w:color w:val="000000"/>
          <w:kern w:val="0"/>
          <w:szCs w:val="21"/>
        </w:rPr>
        <w:t>城市环境、宗教象征等</w:t>
      </w:r>
      <w:r>
        <w:rPr>
          <w:rFonts w:hint="eastAsia" w:cs="Times New Roman"/>
          <w:bCs/>
          <w:color w:val="000000"/>
          <w:kern w:val="0"/>
          <w:szCs w:val="21"/>
        </w:rPr>
        <w:t>角度</w:t>
      </w:r>
      <w:r>
        <w:rPr>
          <w:rFonts w:cs="Times New Roman"/>
          <w:bCs/>
          <w:color w:val="000000"/>
          <w:kern w:val="0"/>
          <w:szCs w:val="21"/>
        </w:rPr>
        <w:t>的</w:t>
      </w:r>
      <w:r>
        <w:rPr>
          <w:rFonts w:hint="eastAsia" w:cs="Times New Roman"/>
          <w:bCs/>
          <w:color w:val="000000"/>
          <w:kern w:val="0"/>
          <w:szCs w:val="21"/>
        </w:rPr>
        <w:t>创作意图</w:t>
      </w:r>
      <w:r>
        <w:rPr>
          <w:rFonts w:hint="eastAsia" w:cs="Times New Roman"/>
          <w:bCs/>
          <w:color w:val="000000"/>
          <w:kern w:val="0"/>
          <w:szCs w:val="21"/>
          <w:lang w:eastAsia="zh-CN"/>
        </w:rPr>
        <w:t>。</w:t>
      </w:r>
      <w:r>
        <w:rPr>
          <w:rFonts w:hint="eastAsia" w:cs="Times New Roman"/>
          <w:bCs/>
          <w:color w:val="0000FF"/>
          <w:kern w:val="0"/>
          <w:szCs w:val="21"/>
        </w:rPr>
        <w:t>通过分析其设计中几何控制与空间层级的融合关系，揭示博罗米尼设计方法的</w:t>
      </w:r>
      <w:r>
        <w:rPr>
          <w:rFonts w:hint="eastAsia" w:cs="Times New Roman"/>
          <w:bCs/>
          <w:color w:val="0000FF"/>
          <w:kern w:val="0"/>
          <w:szCs w:val="21"/>
          <w:lang w:val="en-US" w:eastAsia="zh-CN"/>
        </w:rPr>
        <w:t>延续</w:t>
      </w:r>
      <w:r>
        <w:rPr>
          <w:rFonts w:hint="eastAsia" w:cs="Times New Roman"/>
          <w:bCs/>
          <w:color w:val="0000FF"/>
          <w:kern w:val="0"/>
          <w:szCs w:val="21"/>
        </w:rPr>
        <w:t>价值及其对后世建筑设计的影响。</w:t>
      </w:r>
    </w:p>
    <w:p>
      <w:pPr>
        <w:widowControl/>
        <w:spacing w:line="400" w:lineRule="exact"/>
        <w:ind w:right="315" w:firstLine="0" w:firstLineChars="0"/>
        <w:jc w:val="left"/>
        <w:rPr>
          <w:rFonts w:cs="Times New Roman"/>
          <w:color w:val="0000FF"/>
          <w:kern w:val="0"/>
          <w:szCs w:val="21"/>
          <w:highlight w:val="yellow"/>
        </w:rPr>
      </w:pPr>
      <w:r>
        <w:rPr>
          <w:rFonts w:hint="eastAsia" w:cs="Times New Roman"/>
          <w:b/>
          <w:bCs/>
          <w:szCs w:val="24"/>
          <w:lang w:bidi="ar-SA"/>
        </w:rPr>
        <w:t>关键词</w:t>
      </w:r>
      <w:r>
        <w:rPr>
          <w:rFonts w:hint="eastAsia" w:cs="Times New Roman"/>
          <w:color w:val="000000"/>
          <w:kern w:val="0"/>
          <w:szCs w:val="21"/>
        </w:rPr>
        <w:t>：</w:t>
      </w:r>
      <w:r>
        <w:rPr>
          <w:rFonts w:hint="eastAsia" w:cs="Times New Roman"/>
          <w:color w:val="000000"/>
          <w:kern w:val="0"/>
          <w:szCs w:val="21"/>
          <w:lang w:eastAsia="zh-Hans"/>
        </w:rPr>
        <w:t>巴洛克建筑</w:t>
      </w:r>
      <w:r>
        <w:rPr>
          <w:rFonts w:hint="eastAsia" w:cs="Times New Roman"/>
          <w:color w:val="000000"/>
          <w:kern w:val="0"/>
          <w:szCs w:val="21"/>
        </w:rPr>
        <w:t>；</w:t>
      </w:r>
      <w:r>
        <w:rPr>
          <w:rFonts w:cs="Times New Roman"/>
          <w:color w:val="000000"/>
          <w:kern w:val="0"/>
          <w:szCs w:val="21"/>
        </w:rPr>
        <w:t>弗朗切斯科·博罗米尼；</w:t>
      </w:r>
      <w:r>
        <w:rPr>
          <w:rFonts w:cs="Times New Roman"/>
          <w:color w:val="0000FF"/>
          <w:kern w:val="0"/>
          <w:szCs w:val="21"/>
        </w:rPr>
        <w:t>几何秩序；</w:t>
      </w:r>
      <w:r>
        <w:rPr>
          <w:rFonts w:hint="eastAsia" w:cs="Times New Roman"/>
          <w:color w:val="0000FF"/>
          <w:kern w:val="0"/>
          <w:szCs w:val="21"/>
        </w:rPr>
        <w:t>空间层级</w:t>
      </w:r>
    </w:p>
    <w:p>
      <w:pPr>
        <w:widowControl/>
        <w:spacing w:line="400" w:lineRule="exact"/>
        <w:ind w:right="315" w:firstLine="0" w:firstLineChars="0"/>
        <w:jc w:val="left"/>
        <w:rPr>
          <w:rFonts w:cs="Times New Roman"/>
          <w:color w:val="000000"/>
          <w:kern w:val="0"/>
          <w:szCs w:val="21"/>
          <w:lang w:eastAsia="zh-Hans"/>
        </w:rPr>
      </w:pPr>
    </w:p>
    <w:p>
      <w:pPr>
        <w:widowControl/>
        <w:spacing w:line="240" w:lineRule="auto"/>
        <w:ind w:firstLine="0" w:firstLineChars="0"/>
        <w:rPr>
          <w:rFonts w:cs="Times New Roman"/>
          <w:bCs/>
          <w:color w:val="000000"/>
          <w:kern w:val="0"/>
          <w:szCs w:val="21"/>
        </w:rPr>
      </w:pPr>
      <w:r>
        <w:rPr>
          <w:rFonts w:hint="eastAsia" w:cs="Times New Roman"/>
          <w:b/>
          <w:color w:val="000000"/>
          <w:kern w:val="0"/>
          <w:szCs w:val="21"/>
        </w:rPr>
        <w:t>Abstract</w:t>
      </w:r>
      <w:r>
        <w:rPr>
          <w:rFonts w:cs="Times New Roman"/>
          <w:b/>
          <w:color w:val="000000"/>
          <w:kern w:val="0"/>
          <w:szCs w:val="21"/>
        </w:rPr>
        <w:t>：</w:t>
      </w:r>
      <w:r>
        <w:rPr>
          <w:rFonts w:hint="eastAsia" w:cs="Times New Roman"/>
          <w:bCs/>
          <w:color w:val="000000"/>
          <w:kern w:val="0"/>
          <w:szCs w:val="21"/>
        </w:rPr>
        <w:t>Francesco Borromini</w:t>
      </w:r>
      <w:r>
        <w:rPr>
          <w:rFonts w:cs="Times New Roman"/>
          <w:bCs/>
          <w:color w:val="000000"/>
          <w:kern w:val="0"/>
          <w:szCs w:val="21"/>
        </w:rPr>
        <w:t xml:space="preserve"> </w:t>
      </w:r>
      <w:r>
        <w:rPr>
          <w:rFonts w:hint="eastAsia" w:cs="Times New Roman"/>
          <w:bCs/>
          <w:color w:val="000000"/>
          <w:kern w:val="0"/>
          <w:szCs w:val="21"/>
        </w:rPr>
        <w:t>established a hierarchical architectural system grounded in</w:t>
      </w:r>
      <w:r>
        <w:rPr>
          <w:rFonts w:cs="Times New Roman"/>
          <w:bCs/>
          <w:color w:val="000000"/>
          <w:kern w:val="0"/>
          <w:szCs w:val="21"/>
        </w:rPr>
        <w:t xml:space="preserve"> </w:t>
      </w:r>
      <w:r>
        <w:rPr>
          <w:rFonts w:hint="eastAsia" w:cs="Times New Roman"/>
          <w:bCs/>
          <w:color w:val="000000"/>
          <w:kern w:val="0"/>
          <w:szCs w:val="21"/>
        </w:rPr>
        <w:t>geometric order and spatial shaping principles，thus</w:t>
      </w:r>
      <w:r>
        <w:rPr>
          <w:rFonts w:cs="Times New Roman"/>
          <w:bCs/>
          <w:color w:val="000000"/>
          <w:kern w:val="0"/>
          <w:szCs w:val="21"/>
        </w:rPr>
        <w:t xml:space="preserve"> </w:t>
      </w:r>
      <w:r>
        <w:rPr>
          <w:rFonts w:hint="eastAsia" w:cs="Times New Roman"/>
          <w:bCs/>
          <w:color w:val="000000"/>
          <w:kern w:val="0"/>
          <w:szCs w:val="21"/>
        </w:rPr>
        <w:t>contributing</w:t>
      </w:r>
      <w:r>
        <w:rPr>
          <w:rFonts w:cs="Times New Roman"/>
          <w:bCs/>
          <w:color w:val="000000"/>
          <w:kern w:val="0"/>
          <w:szCs w:val="21"/>
        </w:rPr>
        <w:t xml:space="preserve"> </w:t>
      </w:r>
      <w:r>
        <w:rPr>
          <w:rFonts w:hint="eastAsia" w:cs="Times New Roman"/>
          <w:bCs/>
          <w:color w:val="000000"/>
          <w:kern w:val="0"/>
          <w:szCs w:val="21"/>
        </w:rPr>
        <w:t>to</w:t>
      </w:r>
      <w:r>
        <w:rPr>
          <w:rFonts w:cs="Times New Roman"/>
          <w:bCs/>
          <w:color w:val="000000"/>
          <w:kern w:val="0"/>
          <w:szCs w:val="21"/>
        </w:rPr>
        <w:t xml:space="preserve"> </w:t>
      </w:r>
      <w:r>
        <w:rPr>
          <w:rFonts w:hint="eastAsia" w:cs="Times New Roman"/>
          <w:bCs/>
          <w:color w:val="000000"/>
          <w:kern w:val="0"/>
          <w:szCs w:val="21"/>
        </w:rPr>
        <w:t>Baroque architecture with a unique expression during</w:t>
      </w:r>
      <w:r>
        <w:rPr>
          <w:rFonts w:cs="Times New Roman"/>
          <w:bCs/>
          <w:color w:val="000000"/>
          <w:kern w:val="0"/>
          <w:szCs w:val="21"/>
        </w:rPr>
        <w:t xml:space="preserve"> </w:t>
      </w:r>
      <w:r>
        <w:rPr>
          <w:rFonts w:hint="eastAsia" w:cs="Times New Roman"/>
          <w:bCs/>
          <w:color w:val="000000"/>
          <w:kern w:val="0"/>
          <w:szCs w:val="21"/>
        </w:rPr>
        <w:t>the</w:t>
      </w:r>
      <w:r>
        <w:rPr>
          <w:rFonts w:cs="Times New Roman"/>
          <w:bCs/>
          <w:color w:val="000000"/>
          <w:kern w:val="0"/>
          <w:szCs w:val="21"/>
        </w:rPr>
        <w:t xml:space="preserve"> 17</w:t>
      </w:r>
      <w:r>
        <w:rPr>
          <w:rFonts w:cs="Times New Roman"/>
          <w:bCs/>
          <w:color w:val="000000"/>
          <w:kern w:val="0"/>
          <w:szCs w:val="21"/>
          <w:vertAlign w:val="superscript"/>
        </w:rPr>
        <w:t>th</w:t>
      </w:r>
      <w:r>
        <w:rPr>
          <w:rFonts w:cs="Times New Roman"/>
          <w:bCs/>
          <w:color w:val="000000"/>
          <w:kern w:val="0"/>
          <w:szCs w:val="21"/>
        </w:rPr>
        <w:t xml:space="preserve"> century</w:t>
      </w:r>
      <w:r>
        <w:rPr>
          <w:rFonts w:hint="eastAsia" w:cs="Times New Roman"/>
          <w:bCs/>
          <w:color w:val="000000"/>
          <w:kern w:val="0"/>
          <w:szCs w:val="21"/>
        </w:rPr>
        <w:t>. This paper examines Borromini’s biography and key works from his independent career as an architect, systematically analyzing his innovative use of geometry in areas such as façade curves, planar geometric order, structural logic, and decorative systems. It reveals the interplay between urban context, religious symbolism, and geometric order in his work. Through a detailed interpretation of the integration between geometric control and spatial hierarchy in his designs, this study further elucidates the enduring value of Borromini’s methods and highlights the profound influence of his architectural philosophy on subsequent architectural design.</w:t>
      </w:r>
    </w:p>
    <w:p>
      <w:pPr>
        <w:widowControl/>
        <w:spacing w:line="240" w:lineRule="auto"/>
        <w:ind w:firstLine="0" w:firstLineChars="0"/>
        <w:jc w:val="left"/>
        <w:rPr>
          <w:rFonts w:cs="Times New Roman"/>
          <w:b/>
          <w:color w:val="000000"/>
          <w:kern w:val="0"/>
          <w:szCs w:val="21"/>
        </w:rPr>
      </w:pPr>
    </w:p>
    <w:p>
      <w:pPr>
        <w:spacing w:line="240" w:lineRule="auto"/>
        <w:ind w:firstLine="0" w:firstLineChars="0"/>
        <w:rPr>
          <w:rFonts w:hint="eastAsia" w:eastAsia="宋体" w:cs="Times New Roman"/>
          <w:bCs/>
          <w:color w:val="0000FF"/>
          <w:kern w:val="0"/>
          <w:szCs w:val="21"/>
        </w:rPr>
      </w:pPr>
      <w:r>
        <w:rPr>
          <w:rFonts w:ascii="Times New Roman Bold" w:hAnsi="Times New Roman Bold" w:cs="Times New Roman Bold"/>
          <w:b/>
          <w:bCs/>
        </w:rPr>
        <w:t xml:space="preserve">Keywords: </w:t>
      </w:r>
      <w:r>
        <w:rPr>
          <w:rFonts w:hint="eastAsia"/>
        </w:rPr>
        <w:t xml:space="preserve">Baroque Architectural; Francesco Borromini; </w:t>
      </w:r>
      <w:r>
        <w:rPr>
          <w:rFonts w:hint="eastAsia" w:eastAsia="宋体" w:cs="Times New Roman"/>
          <w:bCs/>
          <w:color w:val="0000FF"/>
          <w:kern w:val="0"/>
          <w:szCs w:val="21"/>
        </w:rPr>
        <w:t>Geometric Order; Spatial Hierarchy</w:t>
      </w:r>
    </w:p>
    <w:p>
      <w:pPr>
        <w:spacing w:line="240" w:lineRule="auto"/>
        <w:ind w:firstLine="0" w:firstLineChars="0"/>
      </w:pPr>
    </w:p>
    <w:p>
      <w:pPr>
        <w:ind w:firstLine="420"/>
        <w:rPr>
          <w:i/>
          <w:iCs/>
          <w:color w:val="0000FF"/>
        </w:rPr>
      </w:pPr>
      <w:r>
        <w:rPr>
          <w:rFonts w:hint="eastAsia"/>
          <w:i/>
          <w:iCs/>
          <w:color w:val="0000FF"/>
        </w:rPr>
        <w:t>平面可以被视为经过浓缩与提炼的内容，就如同一份分析表格般简洁明晰。它也如几何图形一般，承载着丰富的想法和一个起推动作用的意图。</w:t>
      </w:r>
    </w:p>
    <w:p>
      <w:pPr>
        <w:ind w:firstLine="420"/>
        <w:jc w:val="right"/>
        <w:rPr>
          <w:color w:val="0000FF"/>
        </w:rPr>
      </w:pPr>
      <w:r>
        <w:rPr>
          <w:color w:val="0000FF"/>
        </w:rPr>
        <w:t>——</w:t>
      </w:r>
      <w:r>
        <w:rPr>
          <w:rFonts w:hint="eastAsia"/>
          <w:color w:val="0000FF"/>
        </w:rPr>
        <w:t>柯布西耶（Le Corbusier）《走向新建筑》</w:t>
      </w:r>
    </w:p>
    <w:p>
      <w:pPr>
        <w:ind w:firstLine="0"/>
        <w:rPr>
          <w:rFonts w:hint="eastAsia"/>
        </w:rPr>
      </w:pPr>
      <w:r>
        <w:rPr>
          <w:rFonts w:hint="eastAsia"/>
        </w:rPr>
        <w:br w:type="page"/>
      </w:r>
    </w:p>
    <w:p>
      <w:pPr>
        <w:ind w:firstLine="420"/>
        <w:rPr>
          <w:rFonts w:hint="eastAsia"/>
          <w:color w:val="0000FF"/>
          <w:lang w:val="en-US" w:eastAsia="zh-CN"/>
        </w:rPr>
      </w:pPr>
      <w:r>
        <w:rPr>
          <w:rFonts w:hint="eastAsia"/>
          <w:color w:val="0000FF"/>
          <w:lang w:val="en-US" w:eastAsia="zh-CN"/>
        </w:rPr>
        <w:t>从毕达哥拉斯提出“数是万物的本质”到柏拉图用几何形式阐释自然元素，古典哲学家以数理几何构建对世界的理性解读。这一理念深刻影响了中世纪后期建筑师的创作思维，使几何轴线、形体和比例的探讨成为核心议题。文艺复兴时期，对几何秩序的追求进一步深化，建筑师以精确的比例与严谨的空间逻辑赋予建筑理性与美学的双重内涵。几何秩序由此超越了技术手段的范畴，成为回应哲学体系与艺术和谐的重要语言。</w:t>
      </w:r>
    </w:p>
    <w:p>
      <w:pPr>
        <w:ind w:firstLine="420"/>
        <w:rPr>
          <w:rFonts w:hint="eastAsia"/>
          <w:color w:val="0000FF"/>
          <w:highlight w:val="none"/>
          <w:u w:val="none"/>
        </w:rPr>
      </w:pPr>
      <w:r>
        <w:rPr>
          <w:rFonts w:hint="eastAsia"/>
          <w:color w:val="0000FF"/>
          <w:u w:val="none"/>
        </w:rPr>
        <w:t>彼时，在巴洛克建筑革新浪潮的激励下，建筑设计从文艺复兴的古典传统跃升至更复杂的形式语言与动态视觉效果</w:t>
      </w:r>
      <w:r>
        <w:rPr>
          <w:rFonts w:hint="eastAsia"/>
          <w:color w:val="0000FF"/>
          <w:u w:val="none"/>
          <w:lang w:eastAsia="zh-CN"/>
        </w:rPr>
        <w:t>（</w:t>
      </w:r>
      <w:r>
        <w:rPr>
          <w:rFonts w:hint="eastAsia"/>
          <w:color w:val="0000FF"/>
          <w:u w:val="none"/>
          <w:lang w:eastAsia="zh-CN"/>
        </w:rPr>
        <w:fldChar w:fldCharType="begin"/>
      </w:r>
      <w:r>
        <w:rPr>
          <w:rFonts w:hint="eastAsia"/>
          <w:color w:val="0000FF"/>
          <w:u w:val="none"/>
          <w:lang w:eastAsia="zh-CN"/>
        </w:rPr>
        <w:instrText xml:space="preserve"> REF _Ref1756873252 \h </w:instrText>
      </w:r>
      <w:r>
        <w:rPr>
          <w:rFonts w:hint="eastAsia"/>
          <w:color w:val="0000FF"/>
          <w:u w:val="none"/>
          <w:lang w:eastAsia="zh-CN"/>
        </w:rPr>
        <w:fldChar w:fldCharType="separate"/>
      </w:r>
      <w:r>
        <w:rPr>
          <w:rFonts w:hint="eastAsia" w:eastAsia="宋体"/>
          <w:color w:val="0000FF"/>
          <w:u w:val="none"/>
        </w:rPr>
        <w:t>图 1</w:t>
      </w:r>
      <w:r>
        <w:rPr>
          <w:rFonts w:hint="eastAsia"/>
          <w:color w:val="0000FF"/>
          <w:u w:val="none"/>
          <w:lang w:eastAsia="zh-CN"/>
        </w:rPr>
        <w:fldChar w:fldCharType="end"/>
      </w:r>
      <w:r>
        <w:rPr>
          <w:rFonts w:hint="eastAsia"/>
          <w:color w:val="0000FF"/>
          <w:u w:val="none"/>
          <w:lang w:eastAsia="zh-CN"/>
        </w:rPr>
        <w:t>）</w:t>
      </w:r>
      <w:r>
        <w:rPr>
          <w:rFonts w:hint="eastAsia"/>
          <w:color w:val="0000FF"/>
          <w:u w:val="none"/>
        </w:rPr>
        <w:t>。维尼奥拉（Giacomo Barozzi da Vignola，1507–1573）与波尔塔（Giacomo della Porta，1533–1602）的耶稣堂（Il Gesù）以简洁的集中轴线与清晰的空间构造开启了巴洛克建筑的序幕</w:t>
      </w:r>
      <w:r>
        <w:rPr>
          <w:rFonts w:hint="eastAsia"/>
          <w:color w:val="0000FF"/>
          <w:u w:val="none"/>
          <w:lang w:eastAsia="zh-CN"/>
        </w:rPr>
        <w:t>；</w:t>
      </w:r>
      <w:r>
        <w:rPr>
          <w:rFonts w:hint="eastAsia"/>
          <w:color w:val="0000FF"/>
          <w:u w:val="none"/>
        </w:rPr>
        <w:t>马代尔诺（Carlo Maderno，1556–1629）在圣苏珊娜教堂（Santa Susanna）中通过立面逐级加宽与比例调整，为巴洛克教堂立面</w:t>
      </w:r>
      <w:r>
        <w:rPr>
          <w:rFonts w:hint="eastAsia"/>
          <w:color w:val="0000FF"/>
          <w:u w:val="none"/>
          <w:lang w:eastAsia="zh-CN"/>
        </w:rPr>
        <w:t>提供</w:t>
      </w:r>
      <w:r>
        <w:rPr>
          <w:rFonts w:hint="eastAsia"/>
          <w:color w:val="0000FF"/>
          <w:u w:val="none"/>
          <w:lang w:val="en-US" w:eastAsia="zh-CN"/>
        </w:rPr>
        <w:t>了重要参考范式</w:t>
      </w:r>
      <w:r>
        <w:rPr>
          <w:rFonts w:hint="eastAsia"/>
          <w:color w:val="0000FF"/>
          <w:u w:val="none"/>
        </w:rPr>
        <w:t>。随后，贝尼尼（Gian Lorenzo Bernini，1598–1680）与科托纳（Pietro da Cortona，1596–1669）等一代大师，</w:t>
      </w:r>
      <w:r>
        <w:rPr>
          <w:rFonts w:hint="eastAsia"/>
          <w:color w:val="0000FF"/>
          <w:u w:val="none"/>
          <w:lang w:val="en-US" w:eastAsia="zh-CN"/>
        </w:rPr>
        <w:t>则以形式恢宏且富有戏剧性的作品奠定了罗马巴洛克盛期的建筑风格，体现巴洛克建筑在形式流动性与视觉表现上的极致追求的特点。贝尼尼在圣安德烈奎里纳尔堂（Sant’</w:t>
      </w:r>
      <w:r>
        <w:rPr>
          <w:rFonts w:hint="eastAsia" w:eastAsia="宋体"/>
          <w:color w:val="0000FF"/>
          <w:u w:val="none"/>
          <w:lang w:val="en-US" w:eastAsia="zh-CN"/>
        </w:rPr>
        <w:t>Andrea al Quirinale）中，融合椭圆形平面与华丽装饰，</w:t>
      </w:r>
      <w:r>
        <w:rPr>
          <w:rFonts w:hint="eastAsia" w:eastAsia="宋体"/>
          <w:color w:val="0000FF"/>
          <w:u w:val="none"/>
          <w:lang w:val="en-US" w:eastAsia="zh-CN"/>
        </w:rPr>
        <w:t>形成多重视线引导与感官震撼</w:t>
      </w:r>
      <w:r>
        <w:rPr>
          <w:rFonts w:hint="eastAsia" w:eastAsia="宋体"/>
          <w:color w:val="0000FF"/>
          <w:u w:val="none"/>
          <w:lang w:val="en-US" w:eastAsia="zh-CN"/>
        </w:rPr>
        <w:t>；在巴贝里尼</w:t>
      </w:r>
      <w:r>
        <w:rPr>
          <w:rFonts w:hint="eastAsia"/>
          <w:color w:val="0000FF"/>
          <w:u w:val="none"/>
          <w:lang w:val="en-US" w:eastAsia="zh-CN"/>
        </w:rPr>
        <w:t>宫（Palazzo Barberini）的方形楼梯设计中，以环绕上升的折线与光线引导视线，塑造了轻盈且富有</w:t>
      </w:r>
      <w:r>
        <w:rPr>
          <w:rFonts w:hint="eastAsia"/>
          <w:color w:val="0000FF"/>
          <w:u w:val="none"/>
        </w:rPr>
        <w:t>雕塑感</w:t>
      </w:r>
      <w:r>
        <w:rPr>
          <w:rFonts w:hint="eastAsia"/>
          <w:color w:val="0000FF"/>
          <w:u w:val="none"/>
          <w:lang w:val="en-US" w:eastAsia="zh-CN"/>
        </w:rPr>
        <w:t>的垂直空间。科托纳则通过圣卢卡教堂（San Luca e Martina）的复杂装饰与弧形立面，表现出强烈的动态视觉张力</w:t>
      </w:r>
      <w:r>
        <w:rPr>
          <w:rFonts w:hint="eastAsia"/>
          <w:color w:val="0000FF"/>
          <w:highlight w:val="none"/>
          <w:u w:val="none"/>
          <w:lang w:val="en-US" w:eastAsia="zh-CN"/>
        </w:rPr>
        <w:t>。然而，这一趋势在追求形式流动与视觉表现力的过程中，逐渐弱化了对空间逻辑与几何秩序的深入探索，因</w:t>
      </w:r>
      <w:r>
        <w:rPr>
          <w:rFonts w:hint="eastAsia"/>
          <w:color w:val="0000FF"/>
          <w:highlight w:val="none"/>
          <w:u w:val="none"/>
          <w:lang w:eastAsia="zh-CN"/>
        </w:rPr>
        <w:t>过度强调装饰与动态效果</w:t>
      </w:r>
      <w:r>
        <w:rPr>
          <w:rFonts w:hint="eastAsia"/>
          <w:color w:val="0000FF"/>
          <w:highlight w:val="none"/>
          <w:u w:val="none"/>
          <w:lang w:val="en-US" w:eastAsia="zh-CN"/>
        </w:rPr>
        <w:t>而</w:t>
      </w:r>
      <w:r>
        <w:rPr>
          <w:rFonts w:hint="eastAsia"/>
          <w:color w:val="0000FF"/>
          <w:highlight w:val="none"/>
          <w:u w:val="none"/>
          <w:lang w:eastAsia="zh-CN"/>
        </w:rPr>
        <w:t>使设计更多停留于形式</w:t>
      </w:r>
      <w:r>
        <w:rPr>
          <w:rFonts w:hint="eastAsia"/>
          <w:color w:val="0000FF"/>
          <w:highlight w:val="none"/>
          <w:u w:val="none"/>
          <w:lang w:val="en-US" w:eastAsia="zh-CN"/>
        </w:rPr>
        <w:t>浅层</w:t>
      </w:r>
      <w:r>
        <w:rPr>
          <w:rFonts w:hint="eastAsia"/>
          <w:color w:val="0000FF"/>
          <w:highlight w:val="none"/>
          <w:u w:val="none"/>
          <w:lang w:eastAsia="zh-CN"/>
        </w:rPr>
        <w:t>的表达，</w:t>
      </w:r>
      <w:r>
        <w:rPr>
          <w:rFonts w:hint="eastAsia"/>
          <w:color w:val="0000FF"/>
          <w:highlight w:val="none"/>
          <w:u w:val="none"/>
          <w:lang w:val="en-US" w:eastAsia="zh-CN"/>
        </w:rPr>
        <w:t>忽视对</w:t>
      </w:r>
      <w:r>
        <w:rPr>
          <w:rFonts w:hint="eastAsia"/>
          <w:color w:val="0000FF"/>
          <w:highlight w:val="none"/>
          <w:u w:val="none"/>
        </w:rPr>
        <w:t>建筑内在系统</w:t>
      </w:r>
      <w:r>
        <w:rPr>
          <w:rFonts w:hint="eastAsia"/>
          <w:color w:val="0000FF"/>
          <w:highlight w:val="none"/>
          <w:u w:val="none"/>
          <w:lang w:val="en-US" w:eastAsia="zh-CN"/>
        </w:rPr>
        <w:t>及秩序</w:t>
      </w:r>
      <w:r>
        <w:rPr>
          <w:rFonts w:hint="eastAsia"/>
          <w:color w:val="0000FF"/>
          <w:highlight w:val="none"/>
          <w:u w:val="none"/>
        </w:rPr>
        <w:t>的</w:t>
      </w:r>
      <w:r>
        <w:rPr>
          <w:rFonts w:hint="eastAsia"/>
          <w:color w:val="0000FF"/>
          <w:highlight w:val="none"/>
          <w:u w:val="none"/>
          <w:lang w:val="en-US" w:eastAsia="zh-CN"/>
        </w:rPr>
        <w:t>构建</w:t>
      </w:r>
      <w:r>
        <w:rPr>
          <w:rFonts w:hint="eastAsia"/>
          <w:color w:val="0000FF"/>
          <w:highlight w:val="none"/>
          <w:u w:val="none"/>
        </w:rPr>
        <w:t>。</w:t>
      </w:r>
    </w:p>
    <w:p>
      <w:pPr>
        <w:pStyle w:val="8"/>
        <w:rPr>
          <w:u w:val="single"/>
        </w:rPr>
      </w:pPr>
      <w:r>
        <w:rPr>
          <w:u w:val="single"/>
        </w:rPr>
        <w:drawing>
          <wp:inline distT="0" distB="0" distL="114300" distR="114300">
            <wp:extent cx="5268595" cy="2404745"/>
            <wp:effectExtent l="0" t="0" r="14605" b="8255"/>
            <wp:docPr id="1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5"/>
                    <pic:cNvPicPr>
                      <a:picLocks noChangeAspect="1"/>
                    </pic:cNvPicPr>
                  </pic:nvPicPr>
                  <pic:blipFill>
                    <a:blip r:embed="rId6"/>
                    <a:stretch>
                      <a:fillRect/>
                    </a:stretch>
                  </pic:blipFill>
                  <pic:spPr>
                    <a:xfrm>
                      <a:off x="0" y="0"/>
                      <a:ext cx="5268595" cy="2404745"/>
                    </a:xfrm>
                    <a:prstGeom prst="rect">
                      <a:avLst/>
                    </a:prstGeom>
                    <a:noFill/>
                    <a:ln>
                      <a:noFill/>
                    </a:ln>
                  </pic:spPr>
                </pic:pic>
              </a:graphicData>
            </a:graphic>
          </wp:inline>
        </w:drawing>
      </w:r>
    </w:p>
    <w:p>
      <w:pPr>
        <w:pStyle w:val="8"/>
        <w:keepNext w:val="0"/>
        <w:keepLines w:val="0"/>
        <w:widowControl/>
        <w:suppressLineNumbers w:val="0"/>
        <w:jc w:val="left"/>
        <w:rPr>
          <w:rFonts w:hint="eastAsia" w:eastAsia="宋体"/>
          <w:u w:val="none"/>
        </w:rPr>
      </w:pPr>
      <w:bookmarkStart w:id="0" w:name="_Ref1756873252"/>
      <w:r>
        <w:rPr>
          <w:rFonts w:hint="eastAsia" w:eastAsia="宋体"/>
          <w:u w:val="none"/>
        </w:rPr>
        <w:t xml:space="preserve">图 </w:t>
      </w:r>
      <w:r>
        <w:rPr>
          <w:rFonts w:hint="eastAsia" w:eastAsia="宋体"/>
          <w:u w:val="none"/>
        </w:rPr>
        <w:fldChar w:fldCharType="begin"/>
      </w:r>
      <w:r>
        <w:rPr>
          <w:rFonts w:hint="eastAsia" w:eastAsia="宋体"/>
          <w:u w:val="none"/>
        </w:rPr>
        <w:instrText xml:space="preserve"> SEQ 图 \* ARABIC </w:instrText>
      </w:r>
      <w:r>
        <w:rPr>
          <w:rFonts w:hint="eastAsia" w:eastAsia="宋体"/>
          <w:u w:val="none"/>
        </w:rPr>
        <w:fldChar w:fldCharType="separate"/>
      </w:r>
      <w:r>
        <w:rPr>
          <w:rFonts w:hint="eastAsia" w:eastAsia="宋体"/>
          <w:u w:val="none"/>
        </w:rPr>
        <w:t>1</w:t>
      </w:r>
      <w:r>
        <w:rPr>
          <w:rFonts w:hint="eastAsia" w:eastAsia="宋体"/>
          <w:u w:val="none"/>
        </w:rPr>
        <w:fldChar w:fldCharType="end"/>
      </w:r>
      <w:bookmarkEnd w:id="0"/>
      <w:r>
        <w:rPr>
          <w:rFonts w:hint="eastAsia" w:eastAsia="宋体"/>
          <w:u w:val="none"/>
          <w:lang w:val="en-US" w:eastAsia="zh-CN"/>
        </w:rPr>
        <w:t>巴洛克典型教堂平面及立面，</w:t>
      </w:r>
      <w:r>
        <w:rPr>
          <w:rFonts w:hint="eastAsia" w:eastAsia="宋体"/>
          <w:u w:val="none"/>
        </w:rPr>
        <w:t>来源：</w:t>
      </w:r>
    </w:p>
    <w:p>
      <w:pPr>
        <w:pStyle w:val="8"/>
        <w:keepNext w:val="0"/>
        <w:keepLines w:val="0"/>
        <w:widowControl/>
        <w:suppressLineNumbers w:val="0"/>
        <w:jc w:val="left"/>
        <w:rPr>
          <w:rFonts w:hint="default" w:eastAsia="宋体" w:cstheme="minorBidi"/>
          <w:kern w:val="2"/>
          <w:sz w:val="18"/>
          <w:szCs w:val="22"/>
          <w:u w:val="none"/>
          <w:lang w:val="en-US" w:eastAsia="zh-CN" w:bidi="ar"/>
        </w:rPr>
      </w:pPr>
      <w:r>
        <w:rPr>
          <w:rFonts w:hint="eastAsia" w:eastAsia="宋体"/>
          <w:u w:val="none"/>
          <w:lang w:val="en-US"/>
        </w:rPr>
        <w:t>a.</w:t>
      </w:r>
      <w:r>
        <w:rPr>
          <w:rFonts w:hint="eastAsia"/>
          <w:u w:val="none"/>
          <w:lang w:val="en-US" w:eastAsia="zh-CN"/>
        </w:rPr>
        <w:t>立面：</w:t>
      </w:r>
      <w:r>
        <w:rPr>
          <w:rFonts w:hint="eastAsia" w:ascii="Times New Roman" w:hAnsi="Times New Roman" w:eastAsia="宋体" w:cstheme="minorBidi"/>
          <w:kern w:val="2"/>
          <w:sz w:val="18"/>
          <w:szCs w:val="22"/>
          <w:u w:val="none"/>
          <w:lang w:val="en-US" w:eastAsia="zh-CN" w:bidi="ar"/>
        </w:rPr>
        <w:t>cdn.britannica.com</w:t>
      </w:r>
      <w:r>
        <w:rPr>
          <w:rFonts w:hint="eastAsia" w:cstheme="minorBidi"/>
          <w:kern w:val="2"/>
          <w:sz w:val="18"/>
          <w:szCs w:val="22"/>
          <w:u w:val="none"/>
          <w:lang w:val="en-US" w:eastAsia="zh-CN" w:bidi="ar"/>
        </w:rPr>
        <w:t>；平面见文献</w:t>
      </w:r>
      <w:r>
        <w:rPr>
          <w:rStyle w:val="21"/>
          <w:rFonts w:hint="eastAsia" w:cstheme="minorBidi"/>
          <w:kern w:val="2"/>
          <w:sz w:val="18"/>
          <w:szCs w:val="22"/>
          <w:u w:val="none"/>
          <w:lang w:val="en-US" w:eastAsia="zh-CN" w:bidi="ar"/>
        </w:rPr>
        <w:t>[</w:t>
      </w:r>
      <w:r>
        <w:rPr>
          <w:rStyle w:val="21"/>
          <w:rFonts w:hint="eastAsia" w:cstheme="minorBidi"/>
          <w:kern w:val="2"/>
          <w:sz w:val="18"/>
          <w:szCs w:val="22"/>
          <w:u w:val="none"/>
          <w:lang w:val="en-US" w:eastAsia="zh-CN" w:bidi="ar"/>
        </w:rPr>
        <w:endnoteReference w:id="0"/>
      </w:r>
      <w:r>
        <w:rPr>
          <w:rStyle w:val="21"/>
          <w:rFonts w:hint="eastAsia" w:cstheme="minorBidi"/>
          <w:kern w:val="2"/>
          <w:sz w:val="18"/>
          <w:szCs w:val="22"/>
          <w:u w:val="none"/>
          <w:lang w:val="en-US" w:eastAsia="zh-CN" w:bidi="ar"/>
        </w:rPr>
        <w:t>]</w:t>
      </w:r>
      <w:r>
        <w:rPr>
          <w:rFonts w:hint="eastAsia" w:cstheme="minorBidi"/>
          <w:kern w:val="2"/>
          <w:sz w:val="18"/>
          <w:szCs w:val="22"/>
          <w:u w:val="none"/>
          <w:lang w:val="en-US" w:eastAsia="zh-CN" w:bidi="ar"/>
        </w:rPr>
        <w:t>；</w:t>
      </w:r>
    </w:p>
    <w:p>
      <w:pPr>
        <w:pStyle w:val="8"/>
        <w:keepNext w:val="0"/>
        <w:keepLines w:val="0"/>
        <w:widowControl/>
        <w:suppressLineNumbers w:val="0"/>
        <w:jc w:val="left"/>
        <w:rPr>
          <w:rFonts w:hint="default" w:eastAsia="宋体" w:cstheme="minorBidi"/>
          <w:kern w:val="2"/>
          <w:sz w:val="18"/>
          <w:szCs w:val="22"/>
          <w:u w:val="none"/>
          <w:lang w:val="en-US" w:eastAsia="zh-CN" w:bidi="ar"/>
        </w:rPr>
      </w:pPr>
      <w:r>
        <w:rPr>
          <w:rFonts w:hint="default" w:eastAsia="宋体" w:cstheme="minorBidi"/>
          <w:kern w:val="2"/>
          <w:sz w:val="18"/>
          <w:szCs w:val="22"/>
          <w:u w:val="none"/>
          <w:lang w:val="en-US" w:eastAsia="zh-CN" w:bidi="ar"/>
        </w:rPr>
        <w:t>b.</w:t>
      </w:r>
      <w:r>
        <w:rPr>
          <w:rFonts w:hint="eastAsia" w:cstheme="minorBidi"/>
          <w:kern w:val="2"/>
          <w:sz w:val="18"/>
          <w:szCs w:val="22"/>
          <w:u w:val="none"/>
          <w:lang w:val="en-US" w:eastAsia="zh-CN" w:bidi="ar"/>
        </w:rPr>
        <w:t>立面：</w:t>
      </w:r>
      <w:r>
        <w:rPr>
          <w:rFonts w:hint="default" w:eastAsia="宋体" w:cstheme="minorBidi"/>
          <w:kern w:val="2"/>
          <w:sz w:val="18"/>
          <w:szCs w:val="22"/>
          <w:u w:val="none"/>
          <w:lang w:val="en-US" w:eastAsia="zh-CN" w:bidi="ar"/>
        </w:rPr>
        <w:t>https://upload.wikimedia.org/wikipedia/</w:t>
      </w:r>
      <w:r>
        <w:rPr>
          <w:rFonts w:hint="eastAsia" w:cstheme="minorBidi"/>
          <w:kern w:val="2"/>
          <w:sz w:val="18"/>
          <w:szCs w:val="22"/>
          <w:u w:val="none"/>
          <w:lang w:val="en-US" w:eastAsia="zh-CN" w:bidi="ar"/>
        </w:rPr>
        <w:t>；平面见文献</w:t>
      </w:r>
      <w:r>
        <w:rPr>
          <w:rStyle w:val="21"/>
          <w:rFonts w:hint="eastAsia" w:cstheme="minorBidi"/>
          <w:kern w:val="2"/>
          <w:sz w:val="18"/>
          <w:szCs w:val="22"/>
          <w:u w:val="none"/>
          <w:lang w:val="en-US" w:eastAsia="zh-CN" w:bidi="ar"/>
        </w:rPr>
        <w:t>[</w:t>
      </w:r>
      <w:r>
        <w:rPr>
          <w:rStyle w:val="21"/>
          <w:rFonts w:hint="eastAsia" w:cstheme="minorBidi"/>
          <w:kern w:val="2"/>
          <w:sz w:val="18"/>
          <w:szCs w:val="22"/>
          <w:u w:val="none"/>
          <w:lang w:val="en-US" w:eastAsia="zh-CN" w:bidi="ar"/>
        </w:rPr>
        <w:endnoteReference w:id="1"/>
      </w:r>
      <w:r>
        <w:rPr>
          <w:rStyle w:val="21"/>
          <w:rFonts w:hint="eastAsia" w:cstheme="minorBidi"/>
          <w:kern w:val="2"/>
          <w:sz w:val="18"/>
          <w:szCs w:val="22"/>
          <w:u w:val="none"/>
          <w:lang w:val="en-US" w:eastAsia="zh-CN" w:bidi="ar"/>
        </w:rPr>
        <w:t>]</w:t>
      </w:r>
      <w:r>
        <w:rPr>
          <w:rFonts w:hint="eastAsia" w:cstheme="minorBidi"/>
          <w:kern w:val="2"/>
          <w:sz w:val="18"/>
          <w:szCs w:val="22"/>
          <w:u w:val="none"/>
          <w:lang w:val="en-US" w:eastAsia="zh-CN" w:bidi="ar"/>
        </w:rPr>
        <w:t>；</w:t>
      </w:r>
    </w:p>
    <w:p>
      <w:pPr>
        <w:pStyle w:val="8"/>
        <w:keepNext w:val="0"/>
        <w:keepLines w:val="0"/>
        <w:widowControl/>
        <w:suppressLineNumbers w:val="0"/>
        <w:jc w:val="left"/>
        <w:rPr>
          <w:rFonts w:hint="default" w:eastAsia="宋体" w:cstheme="minorBidi"/>
          <w:kern w:val="2"/>
          <w:sz w:val="18"/>
          <w:szCs w:val="22"/>
          <w:u w:val="none"/>
          <w:lang w:val="en-US" w:eastAsia="zh-CN" w:bidi="ar"/>
        </w:rPr>
      </w:pPr>
      <w:r>
        <w:rPr>
          <w:rFonts w:hint="default" w:eastAsia="宋体" w:cstheme="minorBidi"/>
          <w:kern w:val="2"/>
          <w:sz w:val="18"/>
          <w:szCs w:val="22"/>
          <w:u w:val="none"/>
          <w:lang w:val="en-US" w:eastAsia="zh-CN" w:bidi="ar"/>
        </w:rPr>
        <w:t>c.</w:t>
      </w:r>
      <w:r>
        <w:rPr>
          <w:rFonts w:hint="eastAsia" w:cstheme="minorBidi"/>
          <w:kern w:val="2"/>
          <w:sz w:val="18"/>
          <w:szCs w:val="22"/>
          <w:u w:val="none"/>
          <w:lang w:val="en-US" w:eastAsia="zh-CN" w:bidi="ar"/>
        </w:rPr>
        <w:t>平面见文献</w:t>
      </w:r>
      <w:r>
        <w:rPr>
          <w:rStyle w:val="21"/>
          <w:rFonts w:hint="default" w:eastAsia="宋体" w:cstheme="minorBidi"/>
          <w:kern w:val="2"/>
          <w:sz w:val="18"/>
          <w:szCs w:val="22"/>
          <w:u w:val="none"/>
          <w:lang w:val="en-US" w:eastAsia="zh-CN" w:bidi="ar"/>
        </w:rPr>
        <w:t>[</w:t>
      </w:r>
      <w:bookmarkStart w:id="1" w:name="_Ref593002473"/>
      <w:r>
        <w:rPr>
          <w:rStyle w:val="21"/>
          <w:rFonts w:hint="default" w:eastAsia="宋体" w:cstheme="minorBidi"/>
          <w:kern w:val="2"/>
          <w:sz w:val="18"/>
          <w:szCs w:val="22"/>
          <w:u w:val="none"/>
          <w:lang w:val="en-US" w:eastAsia="zh-CN" w:bidi="ar"/>
        </w:rPr>
        <w:endnoteReference w:id="2"/>
      </w:r>
      <w:bookmarkEnd w:id="1"/>
      <w:r>
        <w:rPr>
          <w:rStyle w:val="21"/>
          <w:rFonts w:hint="default" w:eastAsia="宋体" w:cstheme="minorBidi"/>
          <w:kern w:val="2"/>
          <w:sz w:val="18"/>
          <w:szCs w:val="22"/>
          <w:u w:val="none"/>
          <w:lang w:val="en-US" w:eastAsia="zh-CN" w:bidi="ar"/>
        </w:rPr>
        <w:t>]</w:t>
      </w:r>
      <w:r>
        <w:rPr>
          <w:rFonts w:hint="eastAsia" w:cstheme="minorBidi"/>
          <w:kern w:val="2"/>
          <w:sz w:val="18"/>
          <w:szCs w:val="22"/>
          <w:u w:val="none"/>
          <w:lang w:val="en-US" w:eastAsia="zh-CN" w:bidi="ar"/>
        </w:rPr>
        <w:t>，立面作者自摄；</w:t>
      </w:r>
    </w:p>
    <w:p>
      <w:pPr>
        <w:pStyle w:val="8"/>
        <w:keepNext w:val="0"/>
        <w:keepLines w:val="0"/>
        <w:widowControl/>
        <w:suppressLineNumbers w:val="0"/>
        <w:jc w:val="left"/>
        <w:rPr>
          <w:rFonts w:hint="default" w:eastAsia="宋体"/>
          <w:u w:val="none"/>
          <w:lang w:bidi="ar"/>
        </w:rPr>
      </w:pPr>
      <w:r>
        <w:rPr>
          <w:rFonts w:hint="eastAsia" w:eastAsia="宋体" w:cstheme="minorBidi"/>
          <w:kern w:val="2"/>
          <w:sz w:val="18"/>
          <w:szCs w:val="22"/>
          <w:u w:val="none"/>
          <w:lang w:val="en-US" w:eastAsia="zh-CN" w:bidi="ar"/>
        </w:rPr>
        <w:t>d</w:t>
      </w:r>
      <w:r>
        <w:rPr>
          <w:rFonts w:hint="default" w:cstheme="minorBidi"/>
          <w:kern w:val="2"/>
          <w:sz w:val="18"/>
          <w:szCs w:val="22"/>
          <w:u w:val="none"/>
          <w:lang w:val="en-US" w:eastAsia="zh-CN" w:bidi="ar"/>
        </w:rPr>
        <w:t>.</w:t>
      </w:r>
      <w:r>
        <w:rPr>
          <w:rFonts w:hint="eastAsia" w:cstheme="minorBidi"/>
          <w:kern w:val="2"/>
          <w:sz w:val="18"/>
          <w:szCs w:val="22"/>
          <w:u w:val="none"/>
          <w:lang w:val="en-US" w:eastAsia="zh-CN" w:bidi="ar"/>
        </w:rPr>
        <w:t>立面见文献</w:t>
      </w:r>
      <w:r>
        <w:rPr>
          <w:rStyle w:val="21"/>
          <w:rFonts w:hint="eastAsia" w:cstheme="minorBidi"/>
          <w:kern w:val="2"/>
          <w:sz w:val="18"/>
          <w:szCs w:val="22"/>
          <w:u w:val="none"/>
          <w:lang w:val="en-US" w:eastAsia="zh-CN" w:bidi="ar"/>
        </w:rPr>
        <w:t>[</w:t>
      </w:r>
      <w:r>
        <w:rPr>
          <w:rStyle w:val="21"/>
          <w:rFonts w:hint="eastAsia" w:cstheme="minorBidi"/>
          <w:kern w:val="2"/>
          <w:sz w:val="18"/>
          <w:szCs w:val="22"/>
          <w:u w:val="none"/>
          <w:lang w:val="en-US" w:eastAsia="zh-CN" w:bidi="ar"/>
        </w:rPr>
        <w:endnoteReference w:id="3"/>
      </w:r>
      <w:r>
        <w:rPr>
          <w:rStyle w:val="21"/>
          <w:rFonts w:hint="eastAsia" w:cstheme="minorBidi"/>
          <w:kern w:val="2"/>
          <w:sz w:val="18"/>
          <w:szCs w:val="22"/>
          <w:u w:val="none"/>
          <w:lang w:val="en-US" w:eastAsia="zh-CN" w:bidi="ar"/>
        </w:rPr>
        <w:t>]</w:t>
      </w:r>
      <w:r>
        <w:rPr>
          <w:rFonts w:hint="eastAsia" w:cstheme="minorBidi"/>
          <w:kern w:val="2"/>
          <w:sz w:val="18"/>
          <w:szCs w:val="22"/>
          <w:u w:val="none"/>
          <w:lang w:val="en-US" w:eastAsia="zh-CN" w:bidi="ar"/>
        </w:rPr>
        <w:t>，平面：https://www.progettostoriadellarte.it；</w:t>
      </w:r>
    </w:p>
    <w:p>
      <w:pPr>
        <w:ind w:firstLine="420" w:firstLineChars="200"/>
      </w:pPr>
      <w:r>
        <w:rPr>
          <w:rFonts w:hint="eastAsia"/>
          <w:color w:val="0000FF"/>
          <w:u w:val="none"/>
        </w:rPr>
        <w:t>相较于同辈建筑师，博罗米尼（Francesco Borromini, 1599—1667）</w:t>
      </w:r>
      <w:r>
        <w:rPr>
          <w:rFonts w:hint="eastAsia"/>
          <w:color w:val="0000FF"/>
          <w:u w:val="none"/>
          <w:lang w:val="en-US" w:eastAsia="zh-CN"/>
        </w:rPr>
        <w:t>则</w:t>
      </w:r>
      <w:r>
        <w:rPr>
          <w:rFonts w:hint="eastAsia"/>
          <w:color w:val="0000FF"/>
          <w:u w:val="none"/>
        </w:rPr>
        <w:t>以几何逻辑为核心，将建筑设计提升为融合结构、空间与哲学的</w:t>
      </w:r>
      <w:r>
        <w:rPr>
          <w:rFonts w:hint="eastAsia"/>
          <w:color w:val="0000FF"/>
          <w:u w:val="none"/>
          <w:lang w:val="en-US" w:eastAsia="zh-CN"/>
        </w:rPr>
        <w:t>几何秩序控制下的</w:t>
      </w:r>
      <w:r>
        <w:rPr>
          <w:rFonts w:hint="eastAsia"/>
          <w:color w:val="0000FF"/>
          <w:u w:val="none"/>
        </w:rPr>
        <w:t>多</w:t>
      </w:r>
      <w:r>
        <w:rPr>
          <w:rFonts w:hint="eastAsia"/>
          <w:color w:val="0000FF"/>
          <w:u w:val="none"/>
          <w:lang w:val="en-US" w:eastAsia="zh-CN"/>
        </w:rPr>
        <w:t>维</w:t>
      </w:r>
      <w:r>
        <w:rPr>
          <w:rFonts w:hint="eastAsia"/>
          <w:color w:val="0000FF"/>
          <w:u w:val="none"/>
        </w:rPr>
        <w:t>探索。他在承袭古典与宗教建筑传统的基础上，以几何形的原始控制线贯穿设计，融入对城市与空间的整体构想</w:t>
      </w:r>
      <w:r>
        <w:rPr>
          <w:rFonts w:hint="eastAsia"/>
          <w:color w:val="0000FF"/>
          <w:u w:val="none"/>
          <w:lang w:eastAsia="zh-CN"/>
        </w:rPr>
        <w:t>。</w:t>
      </w:r>
      <w:r>
        <w:rPr>
          <w:rFonts w:hint="eastAsia"/>
          <w:color w:val="0000FF"/>
          <w:u w:val="none"/>
        </w:rPr>
        <w:t>博罗米尼</w:t>
      </w:r>
      <w:r>
        <w:rPr>
          <w:rFonts w:hint="eastAsia"/>
          <w:color w:val="0000FF"/>
        </w:rPr>
        <w:t>并未止步于形式的视觉表现，而是通过动态曲线与几何秩序创造出独特的时空体验，融合古典与哥特元素，为古典传统注入了全新的诠释，</w:t>
      </w:r>
      <w:r>
        <w:rPr>
          <w:color w:val="0000FF"/>
          <w:lang w:eastAsia="zh-Hans"/>
        </w:rPr>
        <w:t>展现出强烈的</w:t>
      </w:r>
      <w:r>
        <w:rPr>
          <w:rFonts w:hint="eastAsia"/>
          <w:color w:val="0000FF"/>
        </w:rPr>
        <w:t>个人</w:t>
      </w:r>
      <w:r>
        <w:rPr>
          <w:color w:val="0000FF"/>
          <w:lang w:eastAsia="zh-Hans"/>
        </w:rPr>
        <w:t>革新意识</w:t>
      </w:r>
      <w:r>
        <w:rPr>
          <w:rStyle w:val="21"/>
          <w:rFonts w:hint="eastAsia"/>
          <w:color w:val="0000FF"/>
        </w:rPr>
        <w:t>[</w:t>
      </w:r>
      <w:r>
        <w:rPr>
          <w:rStyle w:val="21"/>
          <w:rFonts w:hint="eastAsia"/>
          <w:color w:val="0000FF"/>
        </w:rPr>
        <w:endnoteReference w:id="4"/>
      </w:r>
      <w:r>
        <w:rPr>
          <w:rStyle w:val="21"/>
          <w:rFonts w:hint="eastAsia"/>
          <w:color w:val="0000FF"/>
        </w:rPr>
        <w:t>]</w:t>
      </w:r>
      <w:r>
        <w:rPr>
          <w:rFonts w:hint="eastAsia"/>
          <w:color w:val="0000FF"/>
        </w:rPr>
        <w:t>——为巴洛克建筑带来了崭新的表现形式</w:t>
      </w:r>
      <w:r>
        <w:rPr>
          <w:rFonts w:hint="eastAsia"/>
          <w:color w:val="0000FF"/>
          <w:lang w:eastAsia="zh-CN"/>
        </w:rPr>
        <w:t>。</w:t>
      </w:r>
      <w:r>
        <w:rPr>
          <w:rFonts w:hint="eastAsia"/>
          <w:u w:val="none"/>
        </w:rPr>
        <w:t>本文基于博罗米尼独立建筑师时期（1634-1667）的建筑实践作品（</w:t>
      </w:r>
      <w:r>
        <w:rPr>
          <w:rFonts w:hint="eastAsia"/>
          <w:u w:val="none"/>
          <w:lang w:eastAsia="zh-CN"/>
        </w:rPr>
        <w:fldChar w:fldCharType="begin"/>
      </w:r>
      <w:r>
        <w:rPr>
          <w:rFonts w:hint="eastAsia"/>
          <w:u w:val="none"/>
          <w:lang w:eastAsia="zh-CN"/>
        </w:rPr>
        <w:instrText xml:space="preserve"> REF _Ref1758251426 \h </w:instrText>
      </w:r>
      <w:r>
        <w:rPr>
          <w:rFonts w:hint="eastAsia"/>
          <w:u w:val="none"/>
          <w:lang w:eastAsia="zh-CN"/>
        </w:rPr>
        <w:fldChar w:fldCharType="separate"/>
      </w:r>
      <w:r>
        <w:t>图 2</w:t>
      </w:r>
      <w:r>
        <w:rPr>
          <w:rFonts w:hint="eastAsia"/>
          <w:u w:val="none"/>
          <w:lang w:eastAsia="zh-CN"/>
        </w:rPr>
        <w:fldChar w:fldCharType="end"/>
      </w:r>
      <w:r>
        <w:rPr>
          <w:rFonts w:hint="eastAsia"/>
          <w:u w:val="none"/>
        </w:rPr>
        <w:t>），从外部几何立面曲线的运用、内部几何构图的平面探索、以及具象化的几何表现三个维度，分析并阐明其设计方法的独特性，及其超越巴洛克</w:t>
      </w:r>
      <w:r>
        <w:rPr>
          <w:rFonts w:hint="eastAsia"/>
          <w:u w:val="none"/>
          <w:lang w:val="en-US" w:eastAsia="zh-CN"/>
        </w:rPr>
        <w:t>同</w:t>
      </w:r>
      <w:r>
        <w:rPr>
          <w:rFonts w:hint="eastAsia"/>
          <w:u w:val="none"/>
        </w:rPr>
        <w:t>期</w:t>
      </w:r>
      <w:r>
        <w:rPr>
          <w:rFonts w:hint="eastAsia"/>
          <w:u w:val="none"/>
          <w:lang w:val="en-US" w:eastAsia="zh-CN"/>
        </w:rPr>
        <w:t>建筑师</w:t>
      </w:r>
      <w:r>
        <w:rPr>
          <w:rFonts w:hint="eastAsia"/>
          <w:u w:val="none"/>
        </w:rPr>
        <w:t>的创新特质，进一步探讨其几何设计原则对后世建筑设计的启示。</w:t>
      </w:r>
    </w:p>
    <w:p>
      <w:pPr>
        <w:pStyle w:val="8"/>
        <w:ind w:firstLineChars="0"/>
        <w:rPr>
          <w:rFonts w:hint="eastAsia"/>
        </w:rPr>
      </w:pPr>
      <w:bookmarkStart w:id="2" w:name="_Ref1758251426"/>
      <w:r>
        <w:drawing>
          <wp:anchor distT="0" distB="0" distL="114300" distR="114300" simplePos="0" relativeHeight="251659264" behindDoc="0" locked="0" layoutInCell="1" allowOverlap="1">
            <wp:simplePos x="0" y="0"/>
            <wp:positionH relativeFrom="column">
              <wp:posOffset>-675005</wp:posOffset>
            </wp:positionH>
            <wp:positionV relativeFrom="paragraph">
              <wp:posOffset>67945</wp:posOffset>
            </wp:positionV>
            <wp:extent cx="6598285" cy="2372360"/>
            <wp:effectExtent l="0" t="0" r="5715" b="15240"/>
            <wp:wrapTopAndBottom/>
            <wp:docPr id="1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1"/>
                    <pic:cNvPicPr>
                      <a:picLocks noChangeAspect="1"/>
                    </pic:cNvPicPr>
                  </pic:nvPicPr>
                  <pic:blipFill>
                    <a:blip r:embed="rId7"/>
                    <a:stretch>
                      <a:fillRect/>
                    </a:stretch>
                  </pic:blipFill>
                  <pic:spPr>
                    <a:xfrm>
                      <a:off x="0" y="0"/>
                      <a:ext cx="6598285" cy="2372360"/>
                    </a:xfrm>
                    <a:prstGeom prst="rect">
                      <a:avLst/>
                    </a:prstGeom>
                    <a:noFill/>
                    <a:ln>
                      <a:noFill/>
                    </a:ln>
                  </pic:spPr>
                </pic:pic>
              </a:graphicData>
            </a:graphic>
          </wp:anchor>
        </w:drawing>
      </w:r>
      <w:r>
        <w:t xml:space="preserve">图 </w:t>
      </w:r>
      <w:r>
        <w:fldChar w:fldCharType="begin"/>
      </w:r>
      <w:r>
        <w:instrText xml:space="preserve"> SEQ 图 \* ARABIC </w:instrText>
      </w:r>
      <w:r>
        <w:fldChar w:fldCharType="separate"/>
      </w:r>
      <w:r>
        <w:t>2</w:t>
      </w:r>
      <w:r>
        <w:fldChar w:fldCharType="end"/>
      </w:r>
      <w:bookmarkEnd w:id="2"/>
      <w:r>
        <w:rPr>
          <w:rFonts w:hint="eastAsia"/>
          <w:lang w:val="en-US" w:eastAsia="zh-CN"/>
        </w:rPr>
        <w:t>博</w:t>
      </w:r>
      <w:r>
        <w:rPr>
          <w:rFonts w:hint="eastAsia"/>
        </w:rPr>
        <w:t>罗米尼独立建筑师期间作品时间轴，来源：作者自绘，作者自摄</w:t>
      </w:r>
    </w:p>
    <w:p>
      <w:pPr>
        <w:pStyle w:val="8"/>
      </w:pPr>
      <w:r>
        <w:rPr>
          <w:rFonts w:hint="eastAsia"/>
        </w:rPr>
        <w:t>照片1）重塑西班牙使馆: https://encrypted-tbn0.gstatic.com</w:t>
      </w:r>
    </w:p>
    <w:p>
      <w:pPr>
        <w:pStyle w:val="8"/>
      </w:pPr>
      <w:r>
        <w:rPr>
          <w:rFonts w:hint="eastAsia"/>
        </w:rPr>
        <w:t>照片2）悲伤圣母堂弧型立面：scoprendoroma.info</w:t>
      </w:r>
    </w:p>
    <w:p>
      <w:pPr>
        <w:pStyle w:val="8"/>
      </w:pPr>
      <w:r>
        <w:rPr>
          <w:rFonts w:hint="eastAsia"/>
        </w:rPr>
        <w:t>照片3）卡佩基纳府邸：https://www.exibart.com/repository/media/sedi/2009/03</w:t>
      </w:r>
    </w:p>
    <w:p>
      <w:pPr>
        <w:pStyle w:val="8"/>
      </w:pPr>
      <w:r>
        <w:rPr>
          <w:rFonts w:hint="eastAsia"/>
        </w:rPr>
        <w:t>照片4）法尔科涅里宫殿扩建：https://www.ribapix.com/images/thumbs/030/0307903</w:t>
      </w:r>
    </w:p>
    <w:p>
      <w:pPr>
        <w:pStyle w:val="8"/>
      </w:pPr>
      <w:r>
        <w:rPr>
          <w:rFonts w:hint="eastAsia"/>
        </w:rPr>
        <w:t>照片5）佛罗伦萨圣乔凡尼教堂（祭坛、地下室）:https://www.borgato.be</w:t>
      </w:r>
    </w:p>
    <w:p>
      <w:pPr>
        <w:pStyle w:val="8"/>
        <w:ind w:firstLineChars="0"/>
        <w:rPr>
          <w:rFonts w:hint="default"/>
        </w:rPr>
      </w:pPr>
      <w:r>
        <w:rPr>
          <w:rFonts w:hint="default"/>
        </w:rPr>
        <w:t>照片6）潘菲利宫:https://cdn.thecollector.com</w:t>
      </w:r>
    </w:p>
    <w:p>
      <w:pPr>
        <w:pStyle w:val="3"/>
        <w:numPr>
          <w:ilvl w:val="0"/>
          <w:numId w:val="2"/>
        </w:numPr>
      </w:pPr>
      <w:r>
        <w:rPr>
          <w:rFonts w:hint="eastAsia"/>
          <w:lang w:val="en-US" w:eastAsia="zh-CN"/>
        </w:rPr>
        <w:t>几</w:t>
      </w:r>
      <w:r>
        <w:rPr>
          <w:rFonts w:hint="eastAsia"/>
        </w:rPr>
        <w:t>何秩序下的创作意图——博罗米尼创作的系统性层级</w:t>
      </w:r>
    </w:p>
    <w:p>
      <w:pPr>
        <w:ind w:firstLine="420"/>
        <w:rPr>
          <w:rFonts w:hint="eastAsia" w:eastAsia="宋体"/>
          <w:highlight w:val="cyan"/>
          <w:u w:val="none"/>
          <w:lang w:eastAsia="zh-Hans"/>
        </w:rPr>
      </w:pPr>
      <w:r>
        <w:rPr>
          <w:rFonts w:hint="eastAsia"/>
          <w:color w:val="0000FF"/>
          <w:u w:val="none"/>
        </w:rPr>
        <w:t>博罗米尼</w:t>
      </w:r>
      <w:r>
        <w:rPr>
          <w:rStyle w:val="25"/>
          <w:rFonts w:hint="eastAsia" w:eastAsia="宋体"/>
          <w:color w:val="0000FF"/>
          <w:u w:val="none"/>
        </w:rPr>
        <w:footnoteReference w:id="0"/>
      </w:r>
      <w:r>
        <w:rPr>
          <w:rStyle w:val="25"/>
          <w:color w:val="0000FF"/>
          <w:u w:val="none"/>
        </w:rPr>
        <w:footnoteReference w:id="1"/>
      </w:r>
      <w:r>
        <w:rPr>
          <w:rFonts w:hint="eastAsia"/>
          <w:color w:val="0000FF"/>
          <w:u w:val="none"/>
        </w:rPr>
        <w:t>的</w:t>
      </w:r>
      <w:r>
        <w:rPr>
          <w:color w:val="0000FF"/>
          <w:u w:val="none"/>
          <w:lang w:eastAsia="zh-Hans"/>
        </w:rPr>
        <w:t>建筑生涯伴随</w:t>
      </w:r>
      <w:r>
        <w:rPr>
          <w:rFonts w:hint="eastAsia"/>
          <w:color w:val="0000FF"/>
          <w:u w:val="none"/>
        </w:rPr>
        <w:t>着</w:t>
      </w:r>
      <w:r>
        <w:rPr>
          <w:color w:val="0000FF"/>
          <w:u w:val="none"/>
          <w:lang w:eastAsia="zh-Hans"/>
        </w:rPr>
        <w:t>17世纪巴洛克运动的兴起而展开，</w:t>
      </w:r>
      <w:r>
        <w:rPr>
          <w:rFonts w:hint="eastAsia"/>
          <w:color w:val="0000FF"/>
          <w:u w:val="none"/>
        </w:rPr>
        <w:t>并</w:t>
      </w:r>
      <w:r>
        <w:rPr>
          <w:color w:val="0000FF"/>
          <w:u w:val="none"/>
          <w:lang w:eastAsia="zh-Hans"/>
        </w:rPr>
        <w:t>深深植根于这一历史背景中</w:t>
      </w:r>
      <w:r>
        <w:rPr>
          <w:rStyle w:val="21"/>
          <w:rFonts w:hint="eastAsia"/>
          <w:color w:val="0000FF"/>
          <w:u w:val="none"/>
        </w:rPr>
        <w:t>[</w:t>
      </w:r>
      <w:bookmarkStart w:id="3" w:name="_Ref1843522054"/>
      <w:r>
        <w:rPr>
          <w:rStyle w:val="21"/>
          <w:rFonts w:hint="eastAsia"/>
          <w:color w:val="0000FF"/>
          <w:u w:val="none"/>
        </w:rPr>
        <w:endnoteReference w:id="5"/>
      </w:r>
      <w:bookmarkEnd w:id="3"/>
      <w:r>
        <w:rPr>
          <w:rStyle w:val="21"/>
          <w:rFonts w:hint="eastAsia"/>
          <w:color w:val="0000FF"/>
          <w:u w:val="none"/>
        </w:rPr>
        <w:t>][</w:t>
      </w:r>
      <w:r>
        <w:rPr>
          <w:rStyle w:val="21"/>
          <w:rFonts w:hint="eastAsia"/>
          <w:color w:val="0000FF"/>
          <w:u w:val="none"/>
        </w:rPr>
        <w:endnoteReference w:id="6"/>
      </w:r>
      <w:r>
        <w:rPr>
          <w:rStyle w:val="21"/>
          <w:rFonts w:hint="eastAsia"/>
          <w:color w:val="0000FF"/>
          <w:u w:val="none"/>
        </w:rPr>
        <w:t>][</w:t>
      </w:r>
      <w:r>
        <w:rPr>
          <w:rStyle w:val="21"/>
          <w:rFonts w:hint="eastAsia"/>
          <w:color w:val="0000FF"/>
          <w:u w:val="none"/>
        </w:rPr>
        <w:endnoteReference w:id="7"/>
      </w:r>
      <w:r>
        <w:rPr>
          <w:rStyle w:val="21"/>
          <w:rFonts w:hint="eastAsia"/>
          <w:color w:val="0000FF"/>
          <w:u w:val="none"/>
        </w:rPr>
        <w:t>]</w:t>
      </w:r>
      <w:r>
        <w:rPr>
          <w:color w:val="0000FF"/>
          <w:u w:val="none"/>
          <w:lang w:eastAsia="zh-Hans"/>
        </w:rPr>
        <w:t>。</w:t>
      </w:r>
      <w:r>
        <w:rPr>
          <w:rFonts w:hint="eastAsia"/>
          <w:color w:val="0000FF"/>
          <w:u w:val="none"/>
        </w:rPr>
        <w:t>自</w:t>
      </w:r>
      <w:r>
        <w:rPr>
          <w:rFonts w:hint="eastAsia"/>
          <w:color w:val="0000FF"/>
          <w:u w:val="none"/>
          <w:lang w:eastAsia="zh-Hans"/>
        </w:rPr>
        <w:t>1634年独立承接四泉圣卡洛教堂</w:t>
      </w:r>
      <w:r>
        <w:rPr>
          <w:rFonts w:hint="eastAsia"/>
          <w:color w:val="0000FF"/>
          <w:u w:val="none"/>
        </w:rPr>
        <w:t>的委托</w:t>
      </w:r>
      <w:r>
        <w:rPr>
          <w:rFonts w:hint="eastAsia"/>
          <w:color w:val="0000FF"/>
          <w:u w:val="none"/>
          <w:lang w:eastAsia="zh-Hans"/>
        </w:rPr>
        <w:t>设计</w:t>
      </w:r>
      <w:r>
        <w:rPr>
          <w:rFonts w:hint="eastAsia"/>
          <w:color w:val="0000FF"/>
          <w:u w:val="none"/>
        </w:rPr>
        <w:t>起</w:t>
      </w:r>
      <w:r>
        <w:rPr>
          <w:rStyle w:val="21"/>
          <w:rFonts w:hint="eastAsia"/>
          <w:color w:val="0000FF"/>
          <w:u w:val="none"/>
          <w:lang w:eastAsia="zh-Hans"/>
        </w:rPr>
        <w:t>[</w:t>
      </w:r>
      <w:r>
        <w:rPr>
          <w:rStyle w:val="21"/>
          <w:rFonts w:hint="eastAsia"/>
          <w:color w:val="0000FF"/>
          <w:u w:val="none"/>
          <w:lang w:eastAsia="zh-Hans"/>
        </w:rPr>
        <w:endnoteReference w:id="8"/>
      </w:r>
      <w:r>
        <w:rPr>
          <w:rStyle w:val="21"/>
          <w:rFonts w:hint="eastAsia"/>
          <w:color w:val="0000FF"/>
          <w:u w:val="none"/>
          <w:lang w:eastAsia="zh-Hans"/>
        </w:rPr>
        <w:t>][</w:t>
      </w:r>
      <w:r>
        <w:rPr>
          <w:rStyle w:val="21"/>
          <w:rFonts w:hint="eastAsia"/>
          <w:color w:val="0000FF"/>
          <w:u w:val="none"/>
          <w:lang w:eastAsia="zh-Hans"/>
        </w:rPr>
        <w:endnoteReference w:id="9"/>
      </w:r>
      <w:r>
        <w:rPr>
          <w:rStyle w:val="21"/>
          <w:rFonts w:hint="eastAsia"/>
          <w:color w:val="0000FF"/>
          <w:u w:val="none"/>
          <w:lang w:eastAsia="zh-Hans"/>
        </w:rPr>
        <w:t>]</w:t>
      </w:r>
      <w:r>
        <w:rPr>
          <w:rFonts w:hint="eastAsia"/>
          <w:color w:val="0000FF"/>
          <w:u w:val="none"/>
          <w:lang w:eastAsia="zh-Hans"/>
        </w:rPr>
        <w:t>，</w:t>
      </w:r>
      <w:r>
        <w:rPr>
          <w:rFonts w:hint="eastAsia" w:eastAsia="宋体"/>
          <w:color w:val="0000FF"/>
          <w:u w:val="none"/>
          <w:lang w:eastAsia="zh-Hans"/>
        </w:rPr>
        <w:t>博罗米尼在其后的一系列作品中，逐步展现出其以几何为核心、层级分明的建筑系统设计理念。</w:t>
      </w:r>
    </w:p>
    <w:p>
      <w:pPr>
        <w:ind w:firstLine="0"/>
        <w:rPr>
          <w:color w:val="0000FF"/>
          <w:u w:val="none"/>
        </w:rPr>
      </w:pPr>
      <w:r>
        <w:rPr>
          <w:rFonts w:hint="eastAsia"/>
          <w:color w:val="0000FF"/>
          <w:u w:val="none"/>
          <w:lang w:val="en-US" w:eastAsia="zh-CN"/>
        </w:rPr>
        <w:t>博罗米尼</w:t>
      </w:r>
      <w:r>
        <w:rPr>
          <w:rFonts w:hint="eastAsia"/>
          <w:color w:val="0000FF"/>
          <w:u w:val="none"/>
        </w:rPr>
        <w:t>从城市视角出发，</w:t>
      </w:r>
      <w:r>
        <w:rPr>
          <w:rFonts w:hint="eastAsia"/>
          <w:color w:val="0000FF"/>
          <w:u w:val="none"/>
          <w:lang w:val="en-US" w:eastAsia="zh-CN"/>
        </w:rPr>
        <w:t>以</w:t>
      </w:r>
      <w:r>
        <w:rPr>
          <w:rFonts w:hint="eastAsia"/>
          <w:color w:val="0000FF"/>
          <w:u w:val="none"/>
        </w:rPr>
        <w:t>几何曲线控制、引导着建筑与城市、教堂与城市的互动关系</w:t>
      </w:r>
      <w:r>
        <w:rPr>
          <w:rFonts w:hint="eastAsia"/>
          <w:color w:val="0000FF"/>
          <w:u w:val="none"/>
          <w:lang w:eastAsia="zh-CN"/>
        </w:rPr>
        <w:t>，</w:t>
      </w:r>
      <w:r>
        <w:rPr>
          <w:rFonts w:hint="eastAsia"/>
          <w:color w:val="0000FF"/>
          <w:u w:val="none"/>
        </w:rPr>
        <w:t>通过建筑立面的曲线动势与城市界面产生呼应，使宗教精神与城市结构紧密相连。</w:t>
      </w:r>
      <w:r>
        <w:rPr>
          <w:rFonts w:hint="eastAsia"/>
          <w:color w:val="0000FF"/>
          <w:u w:val="none"/>
        </w:rPr>
        <w:t>正如诺伯格·舒尔茨所指出的，巴洛克建筑不仅是单体形式的艺术表达，更是一种嵌入城市系统的文化整体。博罗米尼在延续巴洛克建筑师城市设计意识的基础上，</w:t>
      </w:r>
      <w:r>
        <w:rPr>
          <w:rFonts w:hint="eastAsia"/>
          <w:color w:val="0000FF"/>
          <w:u w:val="none"/>
        </w:rPr>
        <w:t>考量教堂在城市中的落位与视角，将宗教活动（如游行）融入城市文化，使教堂成为宗教宣传的核心节点，展现出“城市—建筑—空间”多层级递进的关系，以教堂的室内作为城市空间的延伸，进一步强化建筑与城市系统的有机融合。</w:t>
      </w:r>
    </w:p>
    <w:p>
      <w:pPr>
        <w:ind w:firstLine="420"/>
        <w:rPr>
          <w:color w:val="0000FF"/>
        </w:rPr>
      </w:pPr>
      <w:r>
        <w:rPr>
          <w:rFonts w:hint="eastAsia"/>
          <w:color w:val="0000FF"/>
          <w:u w:val="none"/>
        </w:rPr>
        <w:t>在宗教空间的塑造中，博罗米尼尤为注重几何秩序的表达，并通过空间组织赋予建筑深层的宗教意涵。</w:t>
      </w:r>
      <w:r>
        <w:rPr>
          <w:rFonts w:hint="eastAsia"/>
          <w:color w:val="0000FF"/>
          <w:u w:val="none"/>
          <w:lang w:val="en-US" w:eastAsia="zh-CN"/>
        </w:rPr>
        <w:t>在</w:t>
      </w:r>
      <w:r>
        <w:rPr>
          <w:rFonts w:hint="eastAsia"/>
          <w:color w:val="0000FF"/>
          <w:u w:val="none"/>
        </w:rPr>
        <w:t>反宗教改革浪潮中，他的设计理念得以充分展现，不同于中世纪依靠恐吓的宗教宣传方式</w:t>
      </w:r>
      <w:r>
        <w:rPr>
          <w:rFonts w:hint="eastAsia"/>
          <w:color w:val="0000FF"/>
        </w:rPr>
        <w:t>，他通过几何语言塑造纵向空间，以激发信徒的虔诚信仰并表达神圣，传达其独特的宗教哲学。以集中式的空间布局的运用，营造出集聚中心的透视效果，引导视线自中心祭坛向上延展，将多维、多界面的表现在顶部统协在一起，展现建筑的精确与美感的同时，促使空间设计从独立完整的形式向融合与互动的体验转变。加之光影的变幻进一步强化空间的神圣与高耸之感；建筑轮廓的层叠和细部的处理制造出视错觉，夸张了空间的纵深；建筑的垂直动势通过形体的延伸被凸显</w:t>
      </w:r>
      <w:r>
        <w:rPr>
          <w:rStyle w:val="21"/>
          <w:color w:val="0000FF"/>
        </w:rPr>
        <w:t>[</w:t>
      </w:r>
      <w:r>
        <w:rPr>
          <w:rStyle w:val="21"/>
          <w:color w:val="0000FF"/>
        </w:rPr>
        <w:endnoteReference w:id="10"/>
      </w:r>
      <w:r>
        <w:rPr>
          <w:rStyle w:val="21"/>
          <w:color w:val="0000FF"/>
        </w:rPr>
        <w:t>]</w:t>
      </w:r>
      <w:r>
        <w:rPr>
          <w:rFonts w:hint="eastAsia"/>
          <w:color w:val="0000FF"/>
        </w:rPr>
        <w:t>，营造出震撼与神秘的空间体验。</w:t>
      </w:r>
    </w:p>
    <w:p>
      <w:pPr>
        <w:ind w:firstLine="420"/>
        <w:rPr>
          <w:color w:val="0000FF"/>
        </w:rPr>
      </w:pPr>
      <w:r>
        <w:rPr>
          <w:rFonts w:hint="eastAsia"/>
          <w:color w:val="0000FF"/>
        </w:rPr>
        <w:t>在博罗米尼的设计中，几何既是空间秩序的控制方法，也是建筑与城市互动的表达工具。他通过几何形态在平面、立面和内部空间中的层级化运用，将建筑整体至空间结构、构件细部逐级纳入系统化控制，呈现出高度一致的秩序与动势，并使几何逻辑的控制方法贯穿始终，使建筑在形式、空间和宗教意涵的表现上达成统一，在层层递进中呈现为有机的整体。</w:t>
      </w:r>
    </w:p>
    <w:p>
      <w:pPr>
        <w:pStyle w:val="3"/>
        <w:numPr>
          <w:ilvl w:val="0"/>
          <w:numId w:val="2"/>
        </w:numPr>
        <w:rPr>
          <w:lang w:eastAsia="zh-Hans"/>
        </w:rPr>
      </w:pPr>
      <w:r>
        <w:rPr>
          <w:rFonts w:hint="eastAsia"/>
        </w:rPr>
        <w:t>几何之于外部——曲线衍生的流动秩序</w:t>
      </w:r>
    </w:p>
    <w:p>
      <w:pPr>
        <w:ind w:firstLine="420"/>
        <w:rPr>
          <w:rFonts w:hint="default"/>
          <w:color w:val="0000FF"/>
          <w:highlight w:val="none"/>
          <w:lang w:val="en-US" w:eastAsia="zh-CN"/>
        </w:rPr>
      </w:pPr>
      <w:r>
        <w:rPr>
          <w:rFonts w:hint="eastAsia"/>
        </w:rPr>
        <w:t>得益于早年在米兰和罗马的学徒经历，博罗米尼在实践中逐步掌握了曲线在立面表现中的独特潜力，并在17世纪大胆推进了突破平面的设计思维</w:t>
      </w:r>
      <w:r>
        <w:rPr>
          <w:rFonts w:hint="eastAsia"/>
          <w:color w:val="0000FF"/>
          <w:highlight w:val="none"/>
        </w:rPr>
        <w:t>。</w:t>
      </w:r>
      <w:r>
        <w:rPr>
          <w:rFonts w:hint="eastAsia"/>
          <w:color w:val="0000FF"/>
          <w:highlight w:val="none"/>
          <w:lang w:val="en-US" w:eastAsia="zh-CN"/>
        </w:rPr>
        <w:t>同期，</w:t>
      </w:r>
      <w:r>
        <w:rPr>
          <w:rFonts w:hint="eastAsia"/>
          <w:color w:val="0000FF"/>
          <w:highlight w:val="none"/>
        </w:rPr>
        <w:t>多数建筑师仍遵循古典比例与对称逻辑，强调立面的稳重性与清晰的视觉层次。在立面曲线的应用上，多局限于外在形式的装饰性堆砌与风格化表现，注重视觉冲击力，而未深入探讨建筑立面作为整体建筑系统与城市空间构成部分的内在关联</w:t>
      </w:r>
      <w:r>
        <w:rPr>
          <w:rFonts w:hint="eastAsia"/>
          <w:color w:val="0000FF"/>
          <w:highlight w:val="none"/>
          <w:lang w:val="en-US" w:eastAsia="zh-CN"/>
        </w:rPr>
        <w:t>。如在圣卢卡教堂中，科托纳虽通过弧形轮廓尝试为建筑增添动态效果，然而整体设计更多集中于立面的装饰性堆叠，依赖复杂的柱式嵌套与细节雕饰构筑视觉冲击力，却缺乏对空间与结构系统深层逻辑的探讨；类似地，贝尼尼在圣安德烈教堂中虽运用了流畅的曲线和椭圆形平面来强化视觉动感，但其设计主要服务于戏剧化的装饰效果，更多表现为感官上的戏剧张力，而非对建筑系统内在关联的深入剖析（</w:t>
      </w:r>
      <w:r>
        <w:rPr>
          <w:rFonts w:hint="eastAsia"/>
          <w:color w:val="0000FF"/>
          <w:highlight w:val="none"/>
          <w:lang w:val="en-US" w:eastAsia="zh-CN"/>
        </w:rPr>
        <w:fldChar w:fldCharType="begin"/>
      </w:r>
      <w:r>
        <w:rPr>
          <w:rFonts w:hint="eastAsia"/>
          <w:color w:val="0000FF"/>
          <w:highlight w:val="none"/>
          <w:lang w:val="en-US" w:eastAsia="zh-CN"/>
        </w:rPr>
        <w:instrText xml:space="preserve"> REF _Ref1756873252 \h </w:instrText>
      </w:r>
      <w:r>
        <w:rPr>
          <w:rFonts w:hint="eastAsia"/>
          <w:color w:val="0000FF"/>
          <w:highlight w:val="none"/>
          <w:lang w:val="en-US" w:eastAsia="zh-CN"/>
        </w:rPr>
        <w:fldChar w:fldCharType="separate"/>
      </w:r>
      <w:r>
        <w:rPr>
          <w:rFonts w:hint="eastAsia" w:eastAsia="宋体"/>
          <w:color w:val="0000FF"/>
          <w:u w:val="none"/>
        </w:rPr>
        <w:t>图 1</w:t>
      </w:r>
      <w:r>
        <w:rPr>
          <w:rFonts w:hint="eastAsia"/>
          <w:color w:val="0000FF"/>
          <w:highlight w:val="none"/>
          <w:lang w:val="en-US" w:eastAsia="zh-CN"/>
        </w:rPr>
        <w:fldChar w:fldCharType="end"/>
      </w:r>
      <w:r>
        <w:rPr>
          <w:rFonts w:hint="eastAsia"/>
          <w:color w:val="0000FF"/>
          <w:highlight w:val="none"/>
          <w:lang w:val="en-US" w:eastAsia="zh-CN"/>
        </w:rPr>
        <w:t>）。</w:t>
      </w:r>
    </w:p>
    <w:p>
      <w:pPr>
        <w:ind w:firstLine="420"/>
      </w:pPr>
      <w:r>
        <w:rPr>
          <w:rFonts w:hint="eastAsia"/>
          <w:highlight w:val="none"/>
        </w:rPr>
        <w:t>博罗米尼通过对曲线的系统性运用，将建筑设计从静态形</w:t>
      </w:r>
      <w:r>
        <w:rPr>
          <w:rFonts w:hint="eastAsia"/>
        </w:rPr>
        <w:t>式向动态空间的维度拓展，重新审视并平衡建筑、功能与城市环境之间的关系。他的设计既与城市肌理深度契合，又以突出的宗教节点地位在城市界面中形成鲜明的视觉焦点，展现出融入与彰显并存的建筑特质。曲线元素的引入逐渐成为博罗米尼作品中的重要特征，并在其后诸多设计中得以延展深化，从而赋予建筑从平面延展至空间的独特张力（</w:t>
      </w:r>
      <w:r>
        <w:rPr>
          <w:rFonts w:hint="eastAsia"/>
          <w:lang w:eastAsia="zh-CN"/>
        </w:rPr>
        <w:fldChar w:fldCharType="begin"/>
      </w:r>
      <w:r>
        <w:rPr>
          <w:rFonts w:hint="eastAsia"/>
          <w:lang w:eastAsia="zh-CN"/>
        </w:rPr>
        <w:instrText xml:space="preserve"> REF _Ref1768688573 \h </w:instrText>
      </w:r>
      <w:r>
        <w:rPr>
          <w:rFonts w:hint="eastAsia"/>
          <w:lang w:eastAsia="zh-CN"/>
        </w:rPr>
        <w:fldChar w:fldCharType="separate"/>
      </w:r>
      <w:r>
        <w:t>图 3</w:t>
      </w:r>
      <w:r>
        <w:rPr>
          <w:rFonts w:hint="eastAsia"/>
          <w:lang w:eastAsia="zh-CN"/>
        </w:rPr>
        <w:fldChar w:fldCharType="end"/>
      </w:r>
      <w:r>
        <w:rPr>
          <w:rFonts w:hint="eastAsia"/>
        </w:rPr>
        <w:t>）。</w:t>
      </w:r>
    </w:p>
    <w:p>
      <w:pPr>
        <w:ind w:firstLine="0" w:firstLineChars="0"/>
      </w:pPr>
      <w:r>
        <w:drawing>
          <wp:inline distT="0" distB="0" distL="114300" distR="114300">
            <wp:extent cx="5176520" cy="4132580"/>
            <wp:effectExtent l="0" t="0" r="508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stretch>
                      <a:fillRect/>
                    </a:stretch>
                  </pic:blipFill>
                  <pic:spPr>
                    <a:xfrm>
                      <a:off x="0" y="0"/>
                      <a:ext cx="5176520" cy="4132580"/>
                    </a:xfrm>
                    <a:prstGeom prst="rect">
                      <a:avLst/>
                    </a:prstGeom>
                    <a:noFill/>
                    <a:ln>
                      <a:noFill/>
                    </a:ln>
                  </pic:spPr>
                </pic:pic>
              </a:graphicData>
            </a:graphic>
          </wp:inline>
        </w:drawing>
      </w:r>
    </w:p>
    <w:p>
      <w:pPr>
        <w:pStyle w:val="8"/>
        <w:ind w:firstLineChars="0"/>
        <w:rPr>
          <w:rFonts w:hint="eastAsia"/>
        </w:rPr>
      </w:pPr>
      <w:bookmarkStart w:id="4" w:name="_Ref1768688573"/>
      <w:r>
        <w:t xml:space="preserve">图 </w:t>
      </w:r>
      <w:r>
        <w:fldChar w:fldCharType="begin"/>
      </w:r>
      <w:r>
        <w:instrText xml:space="preserve"> SEQ 图 \* ARABIC </w:instrText>
      </w:r>
      <w:r>
        <w:fldChar w:fldCharType="separate"/>
      </w:r>
      <w:r>
        <w:t>3</w:t>
      </w:r>
      <w:r>
        <w:fldChar w:fldCharType="end"/>
      </w:r>
      <w:bookmarkEnd w:id="4"/>
      <w:r>
        <w:rPr>
          <w:rFonts w:hint="eastAsia"/>
        </w:rPr>
        <w:t>博罗米尼建筑作品的立面曲线，来源：作者自绘</w:t>
      </w:r>
    </w:p>
    <w:p>
      <w:pPr>
        <w:ind w:firstLine="420"/>
      </w:pPr>
      <w:r>
        <w:rPr>
          <w:rFonts w:hint="eastAsia"/>
        </w:rPr>
        <w:t>博罗米尼常用凹曲线来强调入口的视觉中心，同时利用穹顶、外廊、鼓座等凸出构件，与立面的凹曲区域形成鲜明对比，将几何曲线的动势延伸至建筑的内外立面。</w:t>
      </w:r>
      <w:r>
        <w:rPr>
          <w:rFonts w:hint="eastAsia"/>
          <w:lang w:val="en-US" w:eastAsia="zh-CN"/>
        </w:rPr>
        <w:t>在</w:t>
      </w:r>
      <w:r>
        <w:rPr>
          <w:rFonts w:hint="eastAsia"/>
        </w:rPr>
        <w:t>菲利普·内里礼拜堂（1637）设计</w:t>
      </w:r>
      <w:r>
        <w:rPr>
          <w:rFonts w:hint="eastAsia"/>
          <w:lang w:val="en-US" w:eastAsia="zh-CN"/>
        </w:rPr>
        <w:t>中</w:t>
      </w:r>
      <w:r>
        <w:rPr>
          <w:rFonts w:hint="eastAsia"/>
        </w:rPr>
        <w:t>，博罗米尼在建筑立面引入曲线和透视线脚，强化室内外空间的衔接，通过中央开间的反向凸出和材质对比，营造出独特而张力十足的立面效果。中部的凹曲弧线与外凸门廊的过渡赋予建筑一种“迎接”的姿态。这一视觉特征在悲伤圣母堂（1642）中得以延续和深化。在圣依渥礼拜堂（1642）中，内庭院的凹曲立面与上层的六瓣形鼓座同样形成上下动势对比，进一步强化立面在视觉上的层次感和空间表现力。</w:t>
      </w:r>
    </w:p>
    <w:p>
      <w:pPr>
        <w:ind w:firstLine="420"/>
        <w:rPr>
          <w:rFonts w:hint="eastAsia"/>
        </w:rPr>
      </w:pPr>
      <w:r>
        <w:rPr>
          <w:rFonts w:hint="eastAsia"/>
          <w:lang w:val="en-US" w:eastAsia="zh-CN"/>
        </w:rPr>
        <w:t>对</w:t>
      </w:r>
      <w:r>
        <w:rPr>
          <w:rFonts w:hint="eastAsia"/>
        </w:rPr>
        <w:t>立面曲线的塑造</w:t>
      </w:r>
      <w:r>
        <w:rPr>
          <w:rFonts w:hint="eastAsia"/>
          <w:lang w:val="en-US" w:eastAsia="zh-CN"/>
        </w:rPr>
        <w:t>也</w:t>
      </w:r>
      <w:r>
        <w:rPr>
          <w:rFonts w:hint="eastAsia"/>
        </w:rPr>
        <w:t>形成</w:t>
      </w:r>
      <w:r>
        <w:rPr>
          <w:rFonts w:hint="eastAsia"/>
          <w:lang w:val="en-US" w:eastAsia="zh-CN"/>
        </w:rPr>
        <w:t>了</w:t>
      </w:r>
      <w:r>
        <w:rPr>
          <w:rFonts w:hint="eastAsia"/>
        </w:rPr>
        <w:t>城市空间视觉层次的延展，与周围环境形成呼应。在圣艾格尼丝教堂（1653），博罗米尼以五开间的凹曲立面和双层塔楼的垂直布局，使穹顶和凹曲立面对比鲜明，增添了建筑的空间层次和动感。中部三开间的后退弧线为入口提供了适度进深，并通过延展台阶缓解入口空间的局限，进一步协调了立面与广场的关系</w:t>
      </w:r>
      <w:r>
        <w:rPr>
          <w:rFonts w:hint="eastAsia"/>
          <w:lang w:eastAsia="zh-CN"/>
        </w:rPr>
        <w:t>（</w:t>
      </w:r>
      <w:r>
        <w:rPr>
          <w:rFonts w:hint="eastAsia"/>
          <w:lang w:val="en-US" w:eastAsia="zh-CN"/>
        </w:rPr>
        <w:t>图4</w:t>
      </w:r>
      <w:r>
        <w:rPr>
          <w:rFonts w:hint="eastAsia"/>
          <w:lang w:eastAsia="zh-CN"/>
        </w:rPr>
        <w:t>）</w:t>
      </w:r>
      <w:r>
        <w:rPr>
          <w:rFonts w:hint="eastAsia"/>
        </w:rPr>
        <w:t>。同样地，在传信部宫（1646）中，</w:t>
      </w:r>
      <w:r>
        <w:rPr>
          <w:rFonts w:hint="eastAsia"/>
          <w:lang w:val="en-US" w:eastAsia="zh-CN"/>
        </w:rPr>
        <w:t>他</w:t>
      </w:r>
      <w:r>
        <w:rPr>
          <w:rFonts w:hint="eastAsia"/>
        </w:rPr>
        <w:t>在中央门廊引入凹曲设计，突出入口的视觉中心。两侧逐渐收束的六边形壁柱与二层的独立柱上下呼应，形成连续的竖向秩序，并通过后退的阁楼（Attic）结构缓解了街道中的高耸感，从而达成立面的和谐层次。</w:t>
      </w:r>
    </w:p>
    <w:p>
      <w:pPr>
        <w:pStyle w:val="8"/>
        <w:rPr>
          <w:color w:val="0000FF"/>
        </w:rPr>
      </w:pPr>
      <w:r>
        <w:rPr>
          <w:color w:val="0000FF"/>
        </w:rPr>
        <w:drawing>
          <wp:inline distT="0" distB="0" distL="114300" distR="114300">
            <wp:extent cx="5266055" cy="2268220"/>
            <wp:effectExtent l="0" t="0" r="17145" b="1778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9"/>
                    <a:stretch>
                      <a:fillRect/>
                    </a:stretch>
                  </pic:blipFill>
                  <pic:spPr>
                    <a:xfrm>
                      <a:off x="0" y="0"/>
                      <a:ext cx="5266055" cy="2268220"/>
                    </a:xfrm>
                    <a:prstGeom prst="rect">
                      <a:avLst/>
                    </a:prstGeom>
                    <a:noFill/>
                    <a:ln>
                      <a:noFill/>
                    </a:ln>
                  </pic:spPr>
                </pic:pic>
              </a:graphicData>
            </a:graphic>
          </wp:inline>
        </w:drawing>
      </w:r>
    </w:p>
    <w:p>
      <w:pPr>
        <w:pStyle w:val="8"/>
        <w:rPr>
          <w:color w:val="0000FF"/>
        </w:rPr>
      </w:pPr>
      <w:r>
        <w:rPr>
          <w:color w:val="0000FF"/>
        </w:rPr>
        <w:t xml:space="preserve">图 </w:t>
      </w:r>
      <w:r>
        <w:rPr>
          <w:color w:val="0000FF"/>
        </w:rPr>
        <w:fldChar w:fldCharType="begin"/>
      </w:r>
      <w:r>
        <w:rPr>
          <w:color w:val="0000FF"/>
        </w:rPr>
        <w:instrText xml:space="preserve"> SEQ 图 \* ARABIC </w:instrText>
      </w:r>
      <w:r>
        <w:rPr>
          <w:color w:val="0000FF"/>
        </w:rPr>
        <w:fldChar w:fldCharType="separate"/>
      </w:r>
      <w:r>
        <w:rPr>
          <w:color w:val="0000FF"/>
        </w:rPr>
        <w:t>4</w:t>
      </w:r>
      <w:r>
        <w:rPr>
          <w:color w:val="0000FF"/>
        </w:rPr>
        <w:fldChar w:fldCharType="end"/>
      </w:r>
      <w:r>
        <w:rPr>
          <w:rFonts w:hint="eastAsia"/>
          <w:color w:val="0000FF"/>
          <w:lang w:val="en-US" w:eastAsia="zh-CN"/>
        </w:rPr>
        <w:t>建筑与城市关系</w:t>
      </w:r>
      <w:r>
        <w:rPr>
          <w:rFonts w:hint="eastAsia"/>
          <w:color w:val="0000FF"/>
        </w:rPr>
        <w:t>，来源：</w:t>
      </w:r>
      <w:r>
        <w:rPr>
          <w:rFonts w:hint="default"/>
          <w:color w:val="0000FF"/>
          <w:lang w:val="en-US"/>
        </w:rPr>
        <w:t>a.</w:t>
      </w:r>
      <w:r>
        <w:rPr>
          <w:rFonts w:hint="eastAsia"/>
          <w:color w:val="0000FF"/>
          <w:lang w:val="en-US" w:eastAsia="zh-CN"/>
        </w:rPr>
        <w:t>见文献</w:t>
      </w:r>
      <w:r>
        <w:rPr>
          <w:rStyle w:val="21"/>
          <w:rFonts w:hint="eastAsia"/>
          <w:color w:val="0000FF"/>
          <w:lang w:val="en-US" w:eastAsia="zh-CN"/>
        </w:rPr>
        <w:t>[</w:t>
      </w:r>
      <w:r>
        <w:rPr>
          <w:rStyle w:val="21"/>
          <w:rFonts w:hint="eastAsia"/>
          <w:color w:val="0000FF"/>
          <w:lang w:val="en-US" w:eastAsia="zh-CN"/>
        </w:rPr>
        <w:endnoteReference w:id="11"/>
      </w:r>
      <w:r>
        <w:rPr>
          <w:rStyle w:val="21"/>
          <w:rFonts w:hint="eastAsia"/>
          <w:color w:val="0000FF"/>
          <w:lang w:val="en-US" w:eastAsia="zh-CN"/>
        </w:rPr>
        <w:t>]</w:t>
      </w:r>
      <w:r>
        <w:rPr>
          <w:rFonts w:hint="eastAsia"/>
          <w:color w:val="0000FF"/>
          <w:lang w:val="en-US" w:eastAsia="zh-CN"/>
        </w:rPr>
        <w:t>；</w:t>
      </w:r>
      <w:r>
        <w:rPr>
          <w:rFonts w:hint="default"/>
          <w:color w:val="0000FF"/>
          <w:lang w:val="en-US"/>
        </w:rPr>
        <w:t>b.</w:t>
      </w:r>
      <w:r>
        <w:rPr>
          <w:rFonts w:hint="eastAsia"/>
          <w:color w:val="0000FF"/>
          <w:lang w:val="en-US" w:eastAsia="zh-CN"/>
        </w:rPr>
        <w:t>见文献</w:t>
      </w:r>
      <w:r>
        <w:rPr>
          <w:rStyle w:val="21"/>
          <w:rFonts w:hint="eastAsia"/>
          <w:color w:val="0000FF"/>
          <w:lang w:val="en-US" w:eastAsia="zh-CN"/>
        </w:rPr>
        <w:t>[</w:t>
      </w:r>
      <w:r>
        <w:rPr>
          <w:rStyle w:val="21"/>
          <w:rFonts w:hint="eastAsia"/>
          <w:color w:val="0000FF"/>
          <w:lang w:val="en-US" w:eastAsia="zh-CN"/>
        </w:rPr>
        <w:endnoteReference w:id="12"/>
      </w:r>
      <w:r>
        <w:rPr>
          <w:rStyle w:val="21"/>
          <w:rFonts w:hint="eastAsia"/>
          <w:color w:val="0000FF"/>
          <w:lang w:val="en-US" w:eastAsia="zh-CN"/>
        </w:rPr>
        <w:t>]</w:t>
      </w:r>
      <w:r>
        <w:rPr>
          <w:rFonts w:hint="eastAsia"/>
          <w:color w:val="0000FF"/>
          <w:lang w:val="en-US" w:eastAsia="zh-CN"/>
        </w:rPr>
        <w:t>；</w:t>
      </w:r>
      <w:r>
        <w:rPr>
          <w:rFonts w:hint="default"/>
          <w:color w:val="0000FF"/>
          <w:lang w:val="en-US"/>
        </w:rPr>
        <w:t>c.</w:t>
      </w:r>
      <w:r>
        <w:rPr>
          <w:rFonts w:hint="eastAsia"/>
          <w:color w:val="0000FF"/>
        </w:rPr>
        <w:t>I</w:t>
      </w:r>
      <w:r>
        <w:rPr>
          <w:color w:val="0000FF"/>
        </w:rPr>
        <w:t>n</w:t>
      </w:r>
      <w:r>
        <w:rPr>
          <w:rFonts w:hint="eastAsia"/>
          <w:color w:val="0000FF"/>
        </w:rPr>
        <w:t>signivm</w:t>
      </w:r>
      <w:r>
        <w:rPr>
          <w:color w:val="0000FF"/>
        </w:rPr>
        <w:t xml:space="preserve"> Roma Templorvm</w:t>
      </w:r>
    </w:p>
    <w:p>
      <w:pPr>
        <w:ind w:firstLine="420"/>
      </w:pPr>
      <w:r>
        <w:rPr>
          <w:rFonts w:hint="eastAsia"/>
        </w:rPr>
        <w:t>四泉圣卡洛教堂（1665）的双S曲线立面成为博罗米尼曲线应用的集成之作</w:t>
      </w:r>
      <w:r>
        <w:rPr>
          <w:rStyle w:val="25"/>
          <w:rFonts w:hint="eastAsia"/>
        </w:rPr>
        <w:footnoteReference w:id="2"/>
      </w:r>
      <w:r>
        <w:rPr>
          <w:rFonts w:hint="eastAsia"/>
        </w:rPr>
        <w:t>，兼顾立面动势的营造与环境的融合。他通过凹凸曲线的运用、柱式布局的比例协调以及入口空间的衔接，赋予立面波浪般的韵律，使十字街角有限空间呈现出流动感。双S曲线不仅增强了立面的视觉动态，还与街角喷泉的造型自然相连，避免了生硬的转折，使街角空间的流畅衔接。博罗米尼通过建筑曲线和立面的流动性塑造，引导观者感受由远及近的动态过渡，在内外空间中形成连贯而富有层次的界面。</w:t>
      </w:r>
    </w:p>
    <w:p>
      <w:pPr>
        <w:pStyle w:val="3"/>
        <w:numPr>
          <w:ilvl w:val="0"/>
          <w:numId w:val="2"/>
        </w:numPr>
        <w:rPr>
          <w:lang w:eastAsia="zh-Hans"/>
        </w:rPr>
      </w:pPr>
      <w:r>
        <w:rPr>
          <w:rFonts w:hint="eastAsia"/>
        </w:rPr>
        <w:t>几何之于</w:t>
      </w:r>
      <w:r>
        <w:rPr>
          <w:rFonts w:hint="eastAsia"/>
          <w:lang w:val="en-US" w:eastAsia="zh-CN"/>
        </w:rPr>
        <w:t>空间</w:t>
      </w:r>
      <w:r>
        <w:rPr>
          <w:rFonts w:hint="eastAsia"/>
        </w:rPr>
        <w:t>内部——几何构图的平面探索</w:t>
      </w:r>
    </w:p>
    <w:p>
      <w:pPr>
        <w:ind w:firstLine="420"/>
        <w:rPr>
          <w:rFonts w:hint="eastAsia"/>
        </w:rPr>
      </w:pPr>
      <w:r>
        <w:rPr>
          <w:rFonts w:hint="eastAsia"/>
          <w:color w:val="0000FF"/>
        </w:rPr>
        <w:t>文艺复兴时期的建筑设计偏重二维几何控制，强调</w:t>
      </w:r>
      <w:r>
        <w:rPr>
          <w:rFonts w:hint="eastAsia"/>
          <w:color w:val="0000FF"/>
          <w:lang w:val="en-US" w:eastAsia="zh-CN"/>
        </w:rPr>
        <w:t>平面</w:t>
      </w:r>
      <w:r>
        <w:rPr>
          <w:rFonts w:hint="eastAsia"/>
          <w:color w:val="0000FF"/>
        </w:rPr>
        <w:t>空间的独立性与完整分隔，但随着巴洛克风格对表现力需求的提升，这种“平面化”设计已无法满足对更丰富表现力的追求，三维空间的塑造逐渐成为创新的重点。</w:t>
      </w:r>
      <w:r>
        <w:rPr>
          <w:rFonts w:hint="eastAsia"/>
        </w:rPr>
        <w:t>在</w:t>
      </w:r>
      <w:r>
        <w:rPr>
          <w:rFonts w:hint="eastAsia"/>
          <w:lang w:val="en-US" w:eastAsia="zh-CN"/>
        </w:rPr>
        <w:t>四泉</w:t>
      </w:r>
      <w:r>
        <w:rPr>
          <w:rFonts w:hint="eastAsia"/>
        </w:rPr>
        <w:t>圣卡洛教堂和圣依渥礼拜堂中，</w:t>
      </w:r>
      <w:r>
        <w:rPr>
          <w:rFonts w:hint="eastAsia"/>
          <w:lang w:val="en-US" w:eastAsia="zh-CN"/>
        </w:rPr>
        <w:t>博罗米尼</w:t>
      </w:r>
      <w:r>
        <w:rPr>
          <w:rFonts w:hint="eastAsia"/>
        </w:rPr>
        <w:t>通过几何平面的多元组合与交错构图，创造出曲线与直线交织的</w:t>
      </w:r>
      <w:r>
        <w:rPr>
          <w:rFonts w:hint="eastAsia"/>
          <w:lang w:val="en-US" w:eastAsia="zh-CN"/>
        </w:rPr>
        <w:t>丰富</w:t>
      </w:r>
      <w:r>
        <w:rPr>
          <w:rFonts w:hint="eastAsia"/>
        </w:rPr>
        <w:t>形式。他将几何秩序从二维延展至三维，赋予空间以动态流动感，同时精准控制视线聚焦与中心化空间的塑造，为建筑设计开辟了全新的表现路径。</w:t>
      </w:r>
    </w:p>
    <w:p>
      <w:pPr>
        <w:rPr>
          <w:rFonts w:hint="eastAsia" w:eastAsia="宋体"/>
          <w:lang w:eastAsia="zh-CN"/>
        </w:rPr>
      </w:pPr>
      <w:r>
        <w:rPr>
          <w:rFonts w:hint="eastAsia"/>
        </w:rPr>
        <w:t>圣卡洛教堂作为博罗米尼首个独立委托的设计作品</w:t>
      </w:r>
      <w:r>
        <w:rPr>
          <w:rFonts w:hint="eastAsia"/>
          <w:vertAlign w:val="superscript"/>
        </w:rPr>
        <w:t>[</w:t>
      </w:r>
      <w:r>
        <w:rPr>
          <w:rFonts w:hint="eastAsia"/>
          <w:vertAlign w:val="superscript"/>
        </w:rPr>
        <w:fldChar w:fldCharType="begin"/>
      </w:r>
      <w:r>
        <w:rPr>
          <w:rFonts w:hint="eastAsia"/>
          <w:vertAlign w:val="superscript"/>
        </w:rPr>
        <w:instrText xml:space="preserve"> NOTEREF _Ref1843522054 \h </w:instrText>
      </w:r>
      <w:r>
        <w:rPr>
          <w:rFonts w:hint="eastAsia"/>
          <w:vertAlign w:val="superscript"/>
        </w:rPr>
        <w:fldChar w:fldCharType="separate"/>
      </w:r>
      <w:r>
        <w:rPr>
          <w:rFonts w:hint="eastAsia"/>
          <w:vertAlign w:val="superscript"/>
        </w:rPr>
        <w:t>6</w:t>
      </w:r>
      <w:r>
        <w:rPr>
          <w:rFonts w:hint="eastAsia"/>
          <w:vertAlign w:val="superscript"/>
        </w:rPr>
        <w:fldChar w:fldCharType="end"/>
      </w:r>
      <w:r>
        <w:rPr>
          <w:vertAlign w:val="superscript"/>
        </w:rPr>
        <w:t>]</w:t>
      </w:r>
      <w:r>
        <w:rPr>
          <w:rFonts w:hint="eastAsia"/>
        </w:rPr>
        <w:t>，体现了他对几何形体的严谨运用，其平面图稿清晰展现了他在创作过程中反复推敲与精细构思的过程。博罗米尼频繁修改草图，铅笔印保留了他反复推敲的设计痕迹</w:t>
      </w:r>
      <w:r>
        <w:rPr>
          <w:rStyle w:val="25"/>
        </w:rPr>
        <w:footnoteReference w:id="3"/>
      </w:r>
      <w:r>
        <w:rPr>
          <w:rFonts w:hint="eastAsia"/>
        </w:rPr>
        <w:t>，现存的三张草图为理解其创作意图提供了重要线索</w:t>
      </w:r>
      <w:r>
        <w:rPr>
          <w:rFonts w:hint="eastAsia"/>
          <w:lang w:eastAsia="zh-CN"/>
        </w:rPr>
        <w:t>（</w:t>
      </w:r>
      <w:r>
        <w:rPr>
          <w:rFonts w:hint="eastAsia"/>
          <w:lang w:eastAsia="zh-CN"/>
        </w:rPr>
        <w:fldChar w:fldCharType="begin"/>
      </w:r>
      <w:r>
        <w:rPr>
          <w:rFonts w:hint="eastAsia"/>
          <w:lang w:eastAsia="zh-CN"/>
        </w:rPr>
        <w:instrText xml:space="preserve"> REF _Ref33665513 \h </w:instrText>
      </w:r>
      <w:r>
        <w:rPr>
          <w:rFonts w:hint="eastAsia"/>
          <w:lang w:eastAsia="zh-CN"/>
        </w:rPr>
        <w:fldChar w:fldCharType="separate"/>
      </w:r>
      <w:r>
        <w:t xml:space="preserve">图 </w:t>
      </w:r>
      <w:r>
        <w:rPr>
          <w:rFonts w:hint="eastAsia"/>
          <w:lang w:eastAsia="zh-CN"/>
        </w:rPr>
        <w:fldChar w:fldCharType="end"/>
      </w:r>
      <w:r>
        <w:rPr>
          <w:rFonts w:hint="eastAsia"/>
          <w:lang w:val="en-US" w:eastAsia="zh-CN"/>
        </w:rPr>
        <w:t>5</w:t>
      </w:r>
      <w:r>
        <w:rPr>
          <w:rFonts w:hint="eastAsia"/>
          <w:lang w:eastAsia="zh-CN"/>
        </w:rPr>
        <w:t>，</w:t>
      </w:r>
      <w:r>
        <w:rPr>
          <w:rFonts w:hint="eastAsia"/>
          <w:lang w:val="en-US" w:eastAsia="zh-CN"/>
        </w:rPr>
        <w:t>左</w:t>
      </w:r>
      <w:r>
        <w:rPr>
          <w:rFonts w:hint="eastAsia"/>
          <w:lang w:eastAsia="zh-CN"/>
        </w:rPr>
        <w:t>）</w:t>
      </w:r>
      <w:r>
        <w:rPr>
          <w:rFonts w:hint="eastAsia"/>
        </w:rPr>
        <w:t>。教堂平面布局以希腊十字为基础，于尽端布置四个半穹顶小室，分别作为圣坛、礼拜堂及入口区域</w:t>
      </w:r>
      <w:r>
        <w:rPr>
          <w:rFonts w:hint="eastAsia"/>
          <w:lang w:eastAsia="zh-CN"/>
        </w:rPr>
        <w:t>（</w:t>
      </w:r>
      <w:r>
        <w:rPr>
          <w:rFonts w:hint="eastAsia"/>
          <w:lang w:eastAsia="zh-CN"/>
        </w:rPr>
        <w:fldChar w:fldCharType="begin"/>
      </w:r>
      <w:r>
        <w:rPr>
          <w:rFonts w:hint="eastAsia"/>
          <w:lang w:eastAsia="zh-CN"/>
        </w:rPr>
        <w:instrText xml:space="preserve"> REF _Ref33665513 \h </w:instrText>
      </w:r>
      <w:r>
        <w:rPr>
          <w:rFonts w:hint="eastAsia"/>
          <w:lang w:eastAsia="zh-CN"/>
        </w:rPr>
        <w:fldChar w:fldCharType="separate"/>
      </w:r>
      <w:r>
        <w:t xml:space="preserve">图 </w:t>
      </w:r>
      <w:r>
        <w:rPr>
          <w:rFonts w:hint="eastAsia"/>
          <w:lang w:eastAsia="zh-CN"/>
        </w:rPr>
        <w:fldChar w:fldCharType="end"/>
      </w:r>
      <w:r>
        <w:rPr>
          <w:rFonts w:hint="eastAsia"/>
          <w:lang w:val="en-US" w:eastAsia="zh-CN"/>
        </w:rPr>
        <w:t>5</w:t>
      </w:r>
      <w:r>
        <w:rPr>
          <w:rFonts w:hint="eastAsia"/>
          <w:lang w:eastAsia="zh-CN"/>
        </w:rPr>
        <w:t>，</w:t>
      </w:r>
      <w:r>
        <w:rPr>
          <w:rFonts w:hint="eastAsia"/>
          <w:lang w:val="en-US" w:eastAsia="zh-CN"/>
        </w:rPr>
        <w:t>右</w:t>
      </w:r>
      <w:r>
        <w:rPr>
          <w:rFonts w:hint="eastAsia"/>
          <w:lang w:eastAsia="zh-CN"/>
        </w:rPr>
        <w:t>）主入口与圣坛沿长轴线分置两端，其侧的半椭圆凹室分别构成左右小礼拜堂。此外，四个对角线位置的开口通向不同场所：右前方通连至修道院，左后方布置楼梯通向地下室与钟楼，其他两处则连接小圣器室。</w:t>
      </w:r>
    </w:p>
    <w:p>
      <w:pPr>
        <w:pStyle w:val="8"/>
      </w:pPr>
      <w:r>
        <w:drawing>
          <wp:inline distT="0" distB="0" distL="114300" distR="114300">
            <wp:extent cx="4912360" cy="4062730"/>
            <wp:effectExtent l="0" t="0" r="15240" b="1270"/>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icPr>
                  <pic:blipFill>
                    <a:blip r:embed="rId10"/>
                    <a:stretch>
                      <a:fillRect/>
                    </a:stretch>
                  </pic:blipFill>
                  <pic:spPr>
                    <a:xfrm>
                      <a:off x="0" y="0"/>
                      <a:ext cx="4912360" cy="4062730"/>
                    </a:xfrm>
                    <a:prstGeom prst="rect">
                      <a:avLst/>
                    </a:prstGeom>
                    <a:noFill/>
                    <a:ln>
                      <a:noFill/>
                    </a:ln>
                  </pic:spPr>
                </pic:pic>
              </a:graphicData>
            </a:graphic>
          </wp:inline>
        </w:drawing>
      </w:r>
    </w:p>
    <w:p>
      <w:pPr>
        <w:pStyle w:val="8"/>
        <w:rPr>
          <w:rFonts w:hint="eastAsia"/>
        </w:rPr>
      </w:pPr>
      <w:bookmarkStart w:id="5" w:name="_Ref33665513"/>
      <w:r>
        <w:t xml:space="preserve">图 </w:t>
      </w:r>
      <w:bookmarkEnd w:id="5"/>
      <w:r>
        <w:rPr>
          <w:rFonts w:hint="eastAsia"/>
          <w:lang w:val="en-US" w:eastAsia="zh-CN"/>
        </w:rPr>
        <w:t>5</w:t>
      </w:r>
      <w:r>
        <w:t>四泉圣卡洛教堂</w:t>
      </w:r>
      <w:r>
        <w:rPr>
          <w:rFonts w:hint="eastAsia"/>
        </w:rPr>
        <w:t>遗存的草图及平面分析，来源：草图源自文献</w:t>
      </w:r>
      <w:r>
        <w:t>[</w:t>
      </w:r>
      <w:r>
        <w:rPr>
          <w:rFonts w:hint="eastAsia"/>
        </w:rPr>
        <w:fldChar w:fldCharType="begin"/>
      </w:r>
      <w:r>
        <w:rPr>
          <w:rFonts w:hint="eastAsia"/>
        </w:rPr>
        <w:instrText xml:space="preserve"> NOTEREF _Ref1681191958 \h </w:instrText>
      </w:r>
      <w:r>
        <w:rPr>
          <w:rFonts w:hint="eastAsia"/>
        </w:rPr>
        <w:fldChar w:fldCharType="separate"/>
      </w:r>
      <w:r>
        <w:rPr>
          <w:rFonts w:hint="eastAsia"/>
        </w:rPr>
        <w:t>12</w:t>
      </w:r>
      <w:r>
        <w:rPr>
          <w:rFonts w:hint="eastAsia"/>
        </w:rPr>
        <w:fldChar w:fldCharType="end"/>
      </w:r>
      <w:r>
        <w:t>]</w:t>
      </w:r>
      <w:r>
        <w:rPr>
          <w:rFonts w:hint="eastAsia"/>
        </w:rPr>
        <w:t>；作者自绘</w:t>
      </w:r>
    </w:p>
    <w:p>
      <w:pPr>
        <w:ind w:firstLine="420"/>
        <w:rPr>
          <w:rFonts w:hint="eastAsia"/>
        </w:rPr>
      </w:pPr>
      <w:r>
        <w:rPr>
          <w:rFonts w:hint="eastAsia"/>
        </w:rPr>
        <w:t>康纳斯（Joseph Connors）认为，圣卡洛教堂平面的形态源于圣彼得大教堂与圣卢卡教堂的十字形布局，以四方壁龛的延伸来塑造建筑整体</w:t>
      </w:r>
      <w:r>
        <w:rPr>
          <w:rStyle w:val="21"/>
          <w:rFonts w:hint="eastAsia"/>
        </w:rPr>
        <w:t>[</w:t>
      </w:r>
      <w:r>
        <w:rPr>
          <w:rStyle w:val="21"/>
          <w:rFonts w:hint="eastAsia"/>
        </w:rPr>
        <w:endnoteReference w:id="13"/>
      </w:r>
      <w:r>
        <w:rPr>
          <w:rStyle w:val="21"/>
          <w:rFonts w:hint="eastAsia"/>
        </w:rPr>
        <w:t>]</w:t>
      </w:r>
      <w:r>
        <w:rPr>
          <w:rFonts w:hint="eastAsia"/>
        </w:rPr>
        <w:t>。</w:t>
      </w:r>
      <w:r>
        <w:rPr>
          <w:rFonts w:hint="eastAsia"/>
          <w:lang w:val="en-US" w:eastAsia="zh-CN"/>
        </w:rPr>
        <w:t>而其他</w:t>
      </w:r>
      <w:r>
        <w:rPr>
          <w:rFonts w:hint="eastAsia"/>
        </w:rPr>
        <w:t>学者们</w:t>
      </w:r>
      <w:r>
        <w:rPr>
          <w:rStyle w:val="25"/>
          <w:rFonts w:hint="eastAsia"/>
        </w:rPr>
        <w:footnoteReference w:id="4"/>
      </w:r>
      <w:r>
        <w:rPr>
          <w:rFonts w:hint="eastAsia"/>
        </w:rPr>
        <w:t>对此平面几何结构</w:t>
      </w:r>
      <w:r>
        <w:rPr>
          <w:rFonts w:hint="eastAsia"/>
          <w:lang w:val="en-US" w:eastAsia="zh-CN"/>
        </w:rPr>
        <w:t>也</w:t>
      </w:r>
      <w:r>
        <w:rPr>
          <w:rFonts w:hint="eastAsia"/>
        </w:rPr>
        <w:t>各有解读</w:t>
      </w:r>
      <w:r>
        <w:rPr>
          <w:rFonts w:hint="eastAsia"/>
          <w:lang w:eastAsia="zh-CN"/>
        </w:rPr>
        <w:t>（</w:t>
      </w:r>
      <w:r>
        <w:rPr>
          <w:rFonts w:hint="eastAsia"/>
          <w:lang w:eastAsia="zh-CN"/>
        </w:rPr>
        <w:fldChar w:fldCharType="begin"/>
      </w:r>
      <w:r>
        <w:rPr>
          <w:rFonts w:hint="eastAsia"/>
          <w:lang w:eastAsia="zh-CN"/>
        </w:rPr>
        <w:instrText xml:space="preserve"> REF _Ref1893009952 \h </w:instrText>
      </w:r>
      <w:r>
        <w:rPr>
          <w:rFonts w:hint="eastAsia"/>
          <w:lang w:eastAsia="zh-CN"/>
        </w:rPr>
        <w:fldChar w:fldCharType="separate"/>
      </w:r>
      <w:r>
        <w:t xml:space="preserve">图 </w:t>
      </w:r>
      <w:r>
        <w:rPr>
          <w:rFonts w:hint="eastAsia"/>
          <w:lang w:eastAsia="zh-CN"/>
        </w:rPr>
        <w:fldChar w:fldCharType="end"/>
      </w:r>
      <w:r>
        <w:rPr>
          <w:rFonts w:hint="eastAsia"/>
          <w:lang w:val="en-US" w:eastAsia="zh-CN"/>
        </w:rPr>
        <w:t>6</w:t>
      </w:r>
      <w:r>
        <w:rPr>
          <w:rFonts w:hint="eastAsia"/>
          <w:lang w:eastAsia="zh-CN"/>
        </w:rPr>
        <w:t>）</w:t>
      </w:r>
      <w:r>
        <w:rPr>
          <w:rFonts w:hint="eastAsia"/>
        </w:rPr>
        <w:t>：有观点认为博罗米尼利用侧龛打破内部椭圆，营造出中心与边界之间的流动关系；也有观点指出，三个相连圆形从中心向外延展，赋予平面清晰的几何秩序；另有解释称椭圆与十字形交叠，构建多重中心，通过五个椭圆的交汇进一步丰富几何层次。解读的多样性证明博罗米尼设计意图的多重考虑。</w:t>
      </w:r>
    </w:p>
    <w:p>
      <w:pPr>
        <w:ind w:firstLine="0" w:firstLineChars="0"/>
      </w:pPr>
      <w:r>
        <w:drawing>
          <wp:inline distT="0" distB="0" distL="114300" distR="114300">
            <wp:extent cx="4510405" cy="2665095"/>
            <wp:effectExtent l="0" t="0" r="10795" b="1905"/>
            <wp:docPr id="1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
                    <pic:cNvPicPr>
                      <a:picLocks noChangeAspect="1"/>
                    </pic:cNvPicPr>
                  </pic:nvPicPr>
                  <pic:blipFill>
                    <a:blip r:embed="rId11"/>
                    <a:srcRect b="2351"/>
                    <a:stretch>
                      <a:fillRect/>
                    </a:stretch>
                  </pic:blipFill>
                  <pic:spPr>
                    <a:xfrm>
                      <a:off x="0" y="0"/>
                      <a:ext cx="4510405" cy="2665095"/>
                    </a:xfrm>
                    <a:prstGeom prst="rect">
                      <a:avLst/>
                    </a:prstGeom>
                    <a:noFill/>
                    <a:ln>
                      <a:noFill/>
                    </a:ln>
                  </pic:spPr>
                </pic:pic>
              </a:graphicData>
            </a:graphic>
          </wp:inline>
        </w:drawing>
      </w:r>
    </w:p>
    <w:p>
      <w:pPr>
        <w:pStyle w:val="8"/>
      </w:pPr>
      <w:bookmarkStart w:id="6" w:name="_Ref1893009952"/>
      <w:r>
        <w:t xml:space="preserve">图 </w:t>
      </w:r>
      <w:bookmarkEnd w:id="6"/>
      <w:r>
        <w:rPr>
          <w:rFonts w:hint="eastAsia"/>
          <w:lang w:val="en-US" w:eastAsia="zh-CN"/>
        </w:rPr>
        <w:t>6</w:t>
      </w:r>
      <w:r>
        <w:rPr>
          <w:rFonts w:hint="eastAsia"/>
        </w:rPr>
        <w:t>学者对圣卡洛教堂平面的十二种解读及猜想，来源：作者自绘，参考文献</w:t>
      </w:r>
      <w:r>
        <w:t>[</w:t>
      </w:r>
      <w:r>
        <w:rPr>
          <w:rFonts w:hint="eastAsia"/>
        </w:rPr>
        <w:fldChar w:fldCharType="begin"/>
      </w:r>
      <w:r>
        <w:rPr>
          <w:rFonts w:hint="eastAsia"/>
        </w:rPr>
        <w:instrText xml:space="preserve"> NOTEREF _Ref74779495 \h </w:instrText>
      </w:r>
      <w:r>
        <w:rPr>
          <w:rFonts w:hint="eastAsia"/>
        </w:rPr>
        <w:fldChar w:fldCharType="separate"/>
      </w:r>
      <w:r>
        <w:rPr>
          <w:rFonts w:hint="eastAsia"/>
        </w:rPr>
        <w:t>14</w:t>
      </w:r>
      <w:r>
        <w:rPr>
          <w:rFonts w:hint="eastAsia"/>
        </w:rPr>
        <w:fldChar w:fldCharType="end"/>
      </w:r>
      <w:r>
        <w:t xml:space="preserve">] </w:t>
      </w:r>
    </w:p>
    <w:p>
      <w:pPr>
        <w:pStyle w:val="8"/>
      </w:pPr>
      <w:r>
        <w:drawing>
          <wp:inline distT="0" distB="0" distL="114300" distR="114300">
            <wp:extent cx="4376420" cy="4917440"/>
            <wp:effectExtent l="0" t="0" r="17780" b="10160"/>
            <wp:docPr id="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7"/>
                    <pic:cNvPicPr>
                      <a:picLocks noChangeAspect="1"/>
                    </pic:cNvPicPr>
                  </pic:nvPicPr>
                  <pic:blipFill>
                    <a:blip r:embed="rId12"/>
                    <a:stretch>
                      <a:fillRect/>
                    </a:stretch>
                  </pic:blipFill>
                  <pic:spPr>
                    <a:xfrm>
                      <a:off x="0" y="0"/>
                      <a:ext cx="4376420" cy="4917440"/>
                    </a:xfrm>
                    <a:prstGeom prst="rect">
                      <a:avLst/>
                    </a:prstGeom>
                    <a:noFill/>
                    <a:ln>
                      <a:noFill/>
                    </a:ln>
                  </pic:spPr>
                </pic:pic>
              </a:graphicData>
            </a:graphic>
          </wp:inline>
        </w:drawing>
      </w:r>
    </w:p>
    <w:p>
      <w:pPr>
        <w:pStyle w:val="8"/>
      </w:pPr>
      <w:bookmarkStart w:id="7" w:name="_Ref445168101"/>
      <w:r>
        <w:t>图</w:t>
      </w:r>
      <w:bookmarkEnd w:id="7"/>
      <w:r>
        <w:rPr>
          <w:rFonts w:hint="eastAsia"/>
          <w:lang w:val="en-US" w:eastAsia="zh-CN"/>
        </w:rPr>
        <w:t>7</w:t>
      </w:r>
      <w:r>
        <w:rPr>
          <w:rFonts w:hint="eastAsia"/>
        </w:rPr>
        <w:t>圣卡洛教堂最终图纸及几何逻辑分析，来源：a</w:t>
      </w:r>
      <w:r>
        <w:t>.</w:t>
      </w:r>
      <w:r>
        <w:rPr>
          <w:rFonts w:hint="eastAsia"/>
        </w:rPr>
        <w:t>文献</w:t>
      </w:r>
      <w:r>
        <w:rPr>
          <w:vertAlign w:val="superscript"/>
        </w:rPr>
        <w:t>[</w:t>
      </w:r>
      <w:r>
        <w:rPr>
          <w:rFonts w:hint="eastAsia"/>
          <w:vertAlign w:val="superscript"/>
        </w:rPr>
        <w:fldChar w:fldCharType="begin"/>
      </w:r>
      <w:r>
        <w:rPr>
          <w:rFonts w:hint="eastAsia"/>
          <w:vertAlign w:val="superscript"/>
        </w:rPr>
        <w:instrText xml:space="preserve"> NOTEREF _Ref1681191958 \f \h </w:instrText>
      </w:r>
      <w:r>
        <w:rPr>
          <w:rFonts w:hint="eastAsia"/>
          <w:vertAlign w:val="superscript"/>
        </w:rPr>
        <w:fldChar w:fldCharType="separate"/>
      </w:r>
      <w:r>
        <w:rPr>
          <w:rFonts w:hint="eastAsia"/>
          <w:vertAlign w:val="superscript"/>
        </w:rPr>
        <w:t>12</w:t>
      </w:r>
      <w:r>
        <w:rPr>
          <w:rFonts w:hint="eastAsia"/>
          <w:vertAlign w:val="superscript"/>
        </w:rPr>
        <w:fldChar w:fldCharType="end"/>
      </w:r>
      <w:r>
        <w:rPr>
          <w:vertAlign w:val="superscript"/>
        </w:rPr>
        <w:t>]</w:t>
      </w:r>
      <w:r>
        <w:rPr>
          <w:rFonts w:hint="eastAsia"/>
        </w:rPr>
        <w:t>；b、c作者自绘</w:t>
      </w:r>
      <w:r>
        <w:t xml:space="preserve">; </w:t>
      </w:r>
    </w:p>
    <w:p>
      <w:pPr>
        <w:ind w:firstLine="420"/>
      </w:pPr>
      <w:r>
        <w:rPr>
          <w:rFonts w:hint="eastAsia"/>
        </w:rPr>
        <w:t>最终的图纸显示了博罗米尼在空间与形式的高度融合，圣卡洛教堂的平面通过十字系统布局四个侧龛，使椭圆、八角形和十字系统有机结合在平面结构中</w:t>
      </w:r>
      <w:r>
        <w:rPr>
          <w:rStyle w:val="21"/>
          <w:rFonts w:hint="eastAsia"/>
        </w:rPr>
        <w:t>[</w:t>
      </w:r>
      <w:r>
        <w:rPr>
          <w:rStyle w:val="21"/>
          <w:rFonts w:hint="eastAsia"/>
        </w:rPr>
        <w:endnoteReference w:id="14"/>
      </w:r>
      <w:r>
        <w:rPr>
          <w:rStyle w:val="21"/>
          <w:rFonts w:hint="eastAsia"/>
        </w:rPr>
        <w:t>]</w:t>
      </w:r>
      <w:r>
        <w:rPr>
          <w:rFonts w:hint="eastAsia"/>
        </w:rPr>
        <w:t>。斯坦伯格（Leo Steinberg）的研究进一步揭示了圣卡洛教堂几何构造背后的数理逻辑</w:t>
      </w:r>
      <w:r>
        <w:rPr>
          <w:rStyle w:val="21"/>
        </w:rPr>
        <w:t>[</w:t>
      </w:r>
      <w:bookmarkStart w:id="8" w:name="_Ref74779495"/>
      <w:r>
        <w:rPr>
          <w:rStyle w:val="21"/>
        </w:rPr>
        <w:endnoteReference w:id="15"/>
      </w:r>
      <w:bookmarkEnd w:id="8"/>
      <w:r>
        <w:rPr>
          <w:rStyle w:val="21"/>
        </w:rPr>
        <w:t>]</w:t>
      </w:r>
      <w:r>
        <w:rPr>
          <w:rStyle w:val="21"/>
          <w:rFonts w:hint="eastAsia"/>
        </w:rPr>
        <w:t>[</w:t>
      </w:r>
      <w:r>
        <w:rPr>
          <w:rStyle w:val="21"/>
          <w:rFonts w:hint="eastAsia"/>
        </w:rPr>
        <w:endnoteReference w:id="16"/>
      </w:r>
      <w:r>
        <w:rPr>
          <w:rStyle w:val="21"/>
          <w:rFonts w:hint="eastAsia"/>
        </w:rPr>
        <w:t>]</w:t>
      </w:r>
      <w:r>
        <w:rPr>
          <w:rFonts w:hint="eastAsia"/>
        </w:rPr>
        <w:t>，博罗米尼以两个等边三角形构成菱形，构建出由四段圆弧相连的椭圆平面结构，奠定了整个建筑的几何基线，并将这一逻辑延展至穹顶设计；在此基础上，他</w:t>
      </w:r>
      <w:r>
        <w:t>借助四中心椭圆构建外接矩形，</w:t>
      </w:r>
      <w:r>
        <w:rPr>
          <w:rFonts w:hint="eastAsia"/>
        </w:rPr>
        <w:t>将菱形两侧扩展为八角形，通过四个壁龛的弧线进一步定位边缘柱，</w:t>
      </w:r>
      <w:r>
        <w:t>形成四柱三开间的整体平面布局</w:t>
      </w:r>
      <w:r>
        <w:rPr>
          <w:rFonts w:hint="eastAsia"/>
        </w:rPr>
        <w:t>。由此，建筑在长轴上形成了主圣龛与入口的对位，而在短轴上形成对称的侧龛</w:t>
      </w:r>
      <w:r>
        <w:rPr>
          <w:rFonts w:hint="eastAsia"/>
          <w:lang w:eastAsia="zh-CN"/>
        </w:rPr>
        <w:t>（</w:t>
      </w:r>
      <w:r>
        <w:rPr>
          <w:rFonts w:hint="eastAsia"/>
          <w:lang w:eastAsia="zh-CN"/>
        </w:rPr>
        <w:fldChar w:fldCharType="begin"/>
      </w:r>
      <w:r>
        <w:rPr>
          <w:rFonts w:hint="eastAsia"/>
          <w:lang w:eastAsia="zh-CN"/>
        </w:rPr>
        <w:instrText xml:space="preserve"> REF _Ref445168101 \h </w:instrText>
      </w:r>
      <w:r>
        <w:rPr>
          <w:rFonts w:hint="eastAsia"/>
          <w:lang w:eastAsia="zh-CN"/>
        </w:rPr>
        <w:fldChar w:fldCharType="separate"/>
      </w:r>
      <w:r>
        <w:t>图</w:t>
      </w:r>
      <w:r>
        <w:rPr>
          <w:rFonts w:hint="eastAsia"/>
          <w:lang w:eastAsia="zh-CN"/>
        </w:rPr>
        <w:fldChar w:fldCharType="end"/>
      </w:r>
      <w:r>
        <w:rPr>
          <w:rFonts w:hint="eastAsia"/>
          <w:lang w:val="en-US" w:eastAsia="zh-CN"/>
        </w:rPr>
        <w:t>7</w:t>
      </w:r>
      <w:r>
        <w:rPr>
          <w:rFonts w:hint="eastAsia"/>
          <w:lang w:eastAsia="zh-CN"/>
        </w:rPr>
        <w:t>）</w:t>
      </w:r>
      <w:r>
        <w:rPr>
          <w:rFonts w:hint="eastAsia"/>
        </w:rPr>
        <w:t>。</w:t>
      </w:r>
    </w:p>
    <w:p>
      <w:pPr>
        <w:ind w:firstLine="420"/>
      </w:pPr>
      <w:r>
        <w:rPr>
          <w:rFonts w:hint="eastAsia"/>
          <w:color w:val="0000FF"/>
        </w:rPr>
        <w:t>博罗米尼的几何秩序不仅赋予平面布局清晰的结构，还在内部空间中营造出强烈的透视效果与流动的空间体验。</w:t>
      </w:r>
      <w:r>
        <w:rPr>
          <w:rFonts w:hint="eastAsia"/>
        </w:rPr>
        <w:t>在四泉圣卡洛教堂中，他通过墙面与轴线的角度设计，将“希腊十字”形的中央空间与四周融合，使环绕一周的墙体成为连续的空间界面，促成了中央穹顶空间与侧堂空间的融合。平面抹角节点处的柱式不仅划分壁龛区域，还引导视线向中央汇聚，四柱围绕的梯形结构在透视中展现出深邃的层次感，将中央穹顶和侧堂空间和谐地统一于整体布局中。</w:t>
      </w:r>
    </w:p>
    <w:p>
      <w:pPr>
        <w:ind w:firstLine="420"/>
      </w:pPr>
      <w:r>
        <w:rPr>
          <w:rFonts w:hint="eastAsia"/>
        </w:rPr>
        <w:t>圣依渥礼拜堂的设计过程，也体现了其几何秩序空间衍生的设计方法，不同阶段设计稿的差别仅体现在平面的尺度及神龛的造型细节上</w:t>
      </w:r>
      <w:r>
        <w:rPr>
          <w:rFonts w:hint="eastAsia"/>
          <w:lang w:eastAsia="zh-CN"/>
        </w:rPr>
        <w:t>（</w:t>
      </w:r>
      <w:r>
        <w:rPr>
          <w:rFonts w:hint="eastAsia"/>
          <w:lang w:val="en-US" w:eastAsia="zh-CN"/>
        </w:rPr>
        <w:t>图8</w:t>
      </w:r>
      <w:r>
        <w:rPr>
          <w:rFonts w:hint="eastAsia"/>
          <w:lang w:eastAsia="zh-CN"/>
        </w:rPr>
        <w:t>）</w:t>
      </w:r>
      <w:r>
        <w:rPr>
          <w:rFonts w:hint="eastAsia"/>
        </w:rPr>
        <w:t>。例如主神龛在不同图纸中或为贴合壁龛表面的环柱，或为半圆环柱。草图细微的差异揭示出博罗米尼在设计初期已明确了大多数设计元素的位置，并在设计过程中保持前后一致</w:t>
      </w:r>
      <w:r>
        <w:rPr>
          <w:rStyle w:val="21"/>
          <w:rFonts w:hint="eastAsia"/>
        </w:rPr>
        <w:t>[</w:t>
      </w:r>
      <w:r>
        <w:rPr>
          <w:rStyle w:val="21"/>
          <w:rFonts w:hint="eastAsia"/>
        </w:rPr>
        <w:endnoteReference w:id="17"/>
      </w:r>
      <w:r>
        <w:rPr>
          <w:rStyle w:val="21"/>
          <w:rFonts w:hint="eastAsia"/>
        </w:rPr>
        <w:t>]</w:t>
      </w:r>
      <w:r>
        <w:rPr>
          <w:rFonts w:hint="eastAsia"/>
        </w:rPr>
        <w:t>。史密斯-皮尼曾盛赞圣依渥礼拜堂平面布局的设计逻辑在整体方案中的关键作用</w:t>
      </w:r>
      <w:r>
        <w:rPr>
          <w:rStyle w:val="21"/>
          <w:rFonts w:hint="eastAsia"/>
        </w:rPr>
        <w:t>[</w:t>
      </w:r>
      <w:r>
        <w:rPr>
          <w:rFonts w:hint="eastAsia"/>
        </w:rPr>
        <w:fldChar w:fldCharType="begin"/>
      </w:r>
      <w:r>
        <w:rPr>
          <w:rFonts w:hint="eastAsia"/>
        </w:rPr>
        <w:instrText xml:space="preserve"> NOTEREF _Ref2067635309 \f \h </w:instrText>
      </w:r>
      <w:r>
        <w:rPr>
          <w:rFonts w:hint="eastAsia"/>
        </w:rPr>
        <w:fldChar w:fldCharType="separate"/>
      </w:r>
      <w:r>
        <w:rPr>
          <w:rFonts w:hint="eastAsia"/>
          <w:vertAlign w:val="superscript"/>
        </w:rPr>
        <w:t>20</w:t>
      </w:r>
      <w:r>
        <w:rPr>
          <w:rFonts w:hint="eastAsia"/>
        </w:rPr>
        <w:fldChar w:fldCharType="end"/>
      </w:r>
      <w:r>
        <w:rPr>
          <w:rStyle w:val="21"/>
          <w:rFonts w:hint="eastAsia"/>
        </w:rPr>
        <w:t>]</w:t>
      </w:r>
      <w:r>
        <w:rPr>
          <w:rFonts w:hint="eastAsia"/>
        </w:rPr>
        <w:t>，圣依渥礼拜堂的平面布局在六边形与向外延展的星形之间转换，其平面形态主导了整体设计：六边形平面在柱廊的限定下最大化了教堂尺度；完美几何的选择使建筑荷载均匀分布在平面上，控制了整体框架。</w:t>
      </w:r>
    </w:p>
    <w:p>
      <w:pPr>
        <w:pStyle w:val="8"/>
      </w:pPr>
      <w:r>
        <w:drawing>
          <wp:inline distT="0" distB="0" distL="114300" distR="114300">
            <wp:extent cx="5240020" cy="1864995"/>
            <wp:effectExtent l="0" t="0" r="0" b="0"/>
            <wp:docPr id="1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pic:cNvPicPr>
                      <a:picLocks noChangeAspect="1"/>
                    </pic:cNvPicPr>
                  </pic:nvPicPr>
                  <pic:blipFill>
                    <a:blip r:embed="rId13"/>
                    <a:srcRect l="1108" r="1650" b="47640"/>
                    <a:stretch>
                      <a:fillRect/>
                    </a:stretch>
                  </pic:blipFill>
                  <pic:spPr>
                    <a:xfrm>
                      <a:off x="0" y="0"/>
                      <a:ext cx="5240020" cy="1864995"/>
                    </a:xfrm>
                    <a:prstGeom prst="rect">
                      <a:avLst/>
                    </a:prstGeom>
                    <a:noFill/>
                    <a:ln>
                      <a:noFill/>
                    </a:ln>
                  </pic:spPr>
                </pic:pic>
              </a:graphicData>
            </a:graphic>
          </wp:inline>
        </w:drawing>
      </w:r>
    </w:p>
    <w:p>
      <w:pPr>
        <w:pStyle w:val="8"/>
        <w:rPr>
          <w:rStyle w:val="21"/>
          <w:rFonts w:hint="eastAsia"/>
        </w:rPr>
      </w:pPr>
      <w:bookmarkStart w:id="9" w:name="_Ref1538517335"/>
      <w:r>
        <w:t>图</w:t>
      </w:r>
      <w:bookmarkEnd w:id="9"/>
      <w:r>
        <w:rPr>
          <w:rFonts w:hint="eastAsia"/>
          <w:lang w:val="en-US" w:eastAsia="zh-CN"/>
        </w:rPr>
        <w:t>8</w:t>
      </w:r>
      <w:r>
        <w:rPr>
          <w:rFonts w:hint="eastAsia"/>
        </w:rPr>
        <w:t>圣依渥礼拜堂草图，来源：文献</w:t>
      </w:r>
      <w:r>
        <w:rPr>
          <w:rStyle w:val="21"/>
          <w:rFonts w:hint="eastAsia"/>
        </w:rPr>
        <w:t>[</w:t>
      </w:r>
      <w:bookmarkStart w:id="10" w:name="_Ref1683460903"/>
      <w:r>
        <w:rPr>
          <w:rStyle w:val="21"/>
          <w:rFonts w:hint="eastAsia"/>
        </w:rPr>
        <w:endnoteReference w:id="18"/>
      </w:r>
      <w:bookmarkEnd w:id="10"/>
      <w:r>
        <w:rPr>
          <w:rStyle w:val="21"/>
          <w:rFonts w:hint="eastAsia"/>
        </w:rPr>
        <w:t>]</w:t>
      </w:r>
    </w:p>
    <w:p>
      <w:pPr>
        <w:ind w:firstLine="420"/>
      </w:pPr>
      <w:r>
        <w:rPr>
          <w:rFonts w:hint="eastAsia"/>
        </w:rPr>
        <w:t>研读博罗米尼的设计过程，不难看出其运用了与圣卡洛教堂相似的几何生成逻辑</w:t>
      </w:r>
      <w:r>
        <w:rPr>
          <w:rFonts w:hint="eastAsia"/>
          <w:lang w:eastAsia="zh-CN"/>
        </w:rPr>
        <w:t>（</w:t>
      </w:r>
      <w:r>
        <w:rPr>
          <w:rFonts w:hint="eastAsia"/>
          <w:lang w:val="en-US" w:eastAsia="zh-CN"/>
        </w:rPr>
        <w:t>图9</w:t>
      </w:r>
      <w:r>
        <w:rPr>
          <w:rFonts w:hint="eastAsia"/>
          <w:lang w:eastAsia="zh-CN"/>
        </w:rPr>
        <w:t>）</w:t>
      </w:r>
      <w:r>
        <w:rPr>
          <w:rFonts w:hint="eastAsia"/>
        </w:rPr>
        <w:t>。基于等边三角形中心的叠合，将中心点O布于庭院轴线上。六边形顶点A、B、C、D、E、F位于半径为35罗马尺的整圆上，以主轴线为基准，构建了主神龛及礼拜室的平面布局。通过调整六边形的尺寸（M、N位置关系）和角度，平面设计得以覆盖柱廊的开间，构成了完整的结构体系。博罗米尼创新性地舍弃独立柱，转而采用壁柱，赋予每个内凹空间独特的界定效果。壁柱的运用进一步突显了中央穹顶的核心地位，并强化了周边空间的独立性和秩序感。</w:t>
      </w:r>
    </w:p>
    <w:p>
      <w:pPr>
        <w:pStyle w:val="8"/>
      </w:pPr>
      <w:r>
        <w:drawing>
          <wp:inline distT="0" distB="0" distL="114300" distR="114300">
            <wp:extent cx="5138420" cy="4971415"/>
            <wp:effectExtent l="0" t="0" r="17780" b="6985"/>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icPr>
                  <pic:blipFill>
                    <a:blip r:embed="rId14"/>
                    <a:stretch>
                      <a:fillRect/>
                    </a:stretch>
                  </pic:blipFill>
                  <pic:spPr>
                    <a:xfrm>
                      <a:off x="0" y="0"/>
                      <a:ext cx="5138420" cy="4971415"/>
                    </a:xfrm>
                    <a:prstGeom prst="rect">
                      <a:avLst/>
                    </a:prstGeom>
                    <a:noFill/>
                    <a:ln>
                      <a:noFill/>
                    </a:ln>
                  </pic:spPr>
                </pic:pic>
              </a:graphicData>
            </a:graphic>
          </wp:inline>
        </w:drawing>
      </w:r>
    </w:p>
    <w:p>
      <w:pPr>
        <w:pStyle w:val="8"/>
      </w:pPr>
      <w:r>
        <w:t xml:space="preserve">图 </w:t>
      </w:r>
      <w:r>
        <w:rPr>
          <w:rFonts w:hint="eastAsia"/>
          <w:lang w:val="en-US" w:eastAsia="zh-CN"/>
        </w:rPr>
        <w:t>9</w:t>
      </w:r>
      <w:r>
        <w:rPr>
          <w:rFonts w:hint="eastAsia"/>
        </w:rPr>
        <w:t>圣依渥礼拜堂最终平面图纸、数理逻辑及生成过程分析，来源：</w:t>
      </w:r>
      <w:r>
        <w:t>a.</w:t>
      </w:r>
      <w:r>
        <w:rPr>
          <w:rFonts w:hint="eastAsia"/>
        </w:rPr>
        <w:t>文献</w:t>
      </w:r>
      <w:r>
        <w:rPr>
          <w:rStyle w:val="21"/>
          <w:rFonts w:hint="eastAsia"/>
        </w:rPr>
        <w:t>[</w:t>
      </w:r>
      <w:r>
        <w:rPr>
          <w:rStyle w:val="21"/>
          <w:rFonts w:hint="eastAsia"/>
        </w:rPr>
        <w:endnoteReference w:id="19"/>
      </w:r>
      <w:r>
        <w:rPr>
          <w:rStyle w:val="21"/>
          <w:rFonts w:hint="eastAsia"/>
        </w:rPr>
        <w:t>]</w:t>
      </w:r>
      <w:r>
        <w:rPr>
          <w:rFonts w:hint="eastAsia"/>
        </w:rPr>
        <w:t>；b</w:t>
      </w:r>
      <w:r>
        <w:t>.</w:t>
      </w:r>
      <w:r>
        <w:rPr>
          <w:rFonts w:hint="eastAsia"/>
        </w:rPr>
        <w:t>c作者自绘，参考史密斯-皮尼分析</w:t>
      </w:r>
    </w:p>
    <w:p>
      <w:pPr>
        <w:ind w:firstLine="420"/>
        <w:rPr>
          <w:color w:val="0000FF"/>
        </w:rPr>
      </w:pPr>
      <w:r>
        <w:rPr>
          <w:rFonts w:hint="eastAsia"/>
          <w:color w:val="0000FF"/>
        </w:rPr>
        <w:t>博罗米尼的几何设计不仅为建筑平面的创新提供了系统性支撑，也奠定了建筑空间秩序的基础。这一几何生成逻辑在塑造建筑整体性方面实现了高度协调，逐步确立了几何秩序作为其建筑体系的核心原则。该几何体系也在空间结构、装饰中得以具象化呈现，展现出几何秩序、结构理性与装饰艺术的有机融合，</w:t>
      </w:r>
      <w:r>
        <w:rPr>
          <w:rFonts w:hint="eastAsia"/>
          <w:color w:val="0000FF"/>
          <w:lang w:val="en-US" w:eastAsia="zh-CN"/>
        </w:rPr>
        <w:t>清晰反映出</w:t>
      </w:r>
      <w:r>
        <w:rPr>
          <w:rFonts w:hint="eastAsia"/>
          <w:color w:val="0000FF"/>
        </w:rPr>
        <w:t>其对建筑系统构建的丰富的想法与思考。</w:t>
      </w:r>
    </w:p>
    <w:p>
      <w:pPr>
        <w:pStyle w:val="3"/>
        <w:numPr>
          <w:ilvl w:val="0"/>
          <w:numId w:val="2"/>
        </w:numPr>
        <w:rPr>
          <w:color w:val="0000FF"/>
          <w:lang w:eastAsia="zh-Hans"/>
        </w:rPr>
      </w:pPr>
      <w:r>
        <w:rPr>
          <w:rFonts w:hint="eastAsia"/>
          <w:color w:val="0000FF"/>
        </w:rPr>
        <w:t>几何的具象化表现——结构理性与空间装饰的统一</w:t>
      </w:r>
    </w:p>
    <w:p>
      <w:pPr>
        <w:ind w:firstLine="420"/>
      </w:pPr>
      <w:r>
        <w:rPr>
          <w:rFonts w:hint="eastAsia"/>
          <w:color w:val="0000FF"/>
        </w:rPr>
        <w:t>博罗米尼通过对</w:t>
      </w:r>
      <w:r>
        <w:rPr>
          <w:rFonts w:hint="eastAsia"/>
          <w:color w:val="0000FF"/>
          <w:lang w:val="en-US" w:eastAsia="zh-CN"/>
        </w:rPr>
        <w:t>抽象几何形式</w:t>
      </w:r>
      <w:r>
        <w:rPr>
          <w:rFonts w:hint="eastAsia"/>
          <w:color w:val="0000FF"/>
        </w:rPr>
        <w:t>的具象化，将结构与装饰有机结合，构建出独特的建筑体系。</w:t>
      </w:r>
      <w:r>
        <w:rPr>
          <w:rFonts w:hint="eastAsia"/>
          <w:color w:val="0000FF"/>
          <w:lang w:val="en-US" w:eastAsia="zh-CN"/>
        </w:rPr>
        <w:t>他</w:t>
      </w:r>
      <w:r>
        <w:rPr>
          <w:rFonts w:hint="eastAsia"/>
          <w:color w:val="0000FF"/>
        </w:rPr>
        <w:t>在圣依渥礼拜堂和四泉圣卡洛教堂的设计中，几何形态的精准控制被融入到整体结构体系与装饰细节中，从空间视角的塑造、光线运用到结构选型与建筑层级布局，赋予空间高度的秩序感与层次感，形成其建筑系统的典型特征。</w:t>
      </w:r>
    </w:p>
    <w:p>
      <w:pPr>
        <w:pStyle w:val="4"/>
        <w:numPr>
          <w:ilvl w:val="0"/>
          <w:numId w:val="3"/>
        </w:numPr>
        <w:tabs>
          <w:tab w:val="left" w:pos="0"/>
        </w:tabs>
        <w:spacing w:before="156" w:after="156"/>
        <w:rPr>
          <w:color w:val="0000FF"/>
        </w:rPr>
      </w:pPr>
      <w:bookmarkStart w:id="11" w:name="OLE_LINK1"/>
      <w:bookmarkStart w:id="12" w:name="OLE_LINK2"/>
      <w:r>
        <w:rPr>
          <w:rFonts w:hint="eastAsia"/>
          <w:color w:val="0000FF"/>
        </w:rPr>
        <w:t>装饰与结构的协同统一</w:t>
      </w:r>
    </w:p>
    <w:p>
      <w:pPr>
        <w:ind w:firstLine="420"/>
        <w:rPr>
          <w:rFonts w:hint="eastAsia"/>
          <w:color w:val="0000FF"/>
        </w:rPr>
      </w:pPr>
      <w:r>
        <w:rPr>
          <w:rFonts w:hint="eastAsia"/>
          <w:color w:val="0000FF"/>
        </w:rPr>
        <w:t>在博罗米尼的教堂设计中，穹顶作为结构与装饰的核心，将宗教象征、空间体验与结构逻辑融为一体。他通过纵向延展创新传统穹顶结构，将结构中的“冗余”巧妙地转化为装饰元素，使其在整体空间布局中实现结构与装饰的自洽统一。</w:t>
      </w:r>
    </w:p>
    <w:p>
      <w:pPr>
        <w:pStyle w:val="8"/>
      </w:pPr>
      <w:r>
        <w:drawing>
          <wp:inline distT="0" distB="0" distL="114300" distR="114300">
            <wp:extent cx="5266690" cy="4918075"/>
            <wp:effectExtent l="0" t="0" r="16510" b="9525"/>
            <wp:docPr id="1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9"/>
                    <pic:cNvPicPr>
                      <a:picLocks noChangeAspect="1"/>
                    </pic:cNvPicPr>
                  </pic:nvPicPr>
                  <pic:blipFill>
                    <a:blip r:embed="rId15"/>
                    <a:stretch>
                      <a:fillRect/>
                    </a:stretch>
                  </pic:blipFill>
                  <pic:spPr>
                    <a:xfrm>
                      <a:off x="0" y="0"/>
                      <a:ext cx="5266690" cy="4918075"/>
                    </a:xfrm>
                    <a:prstGeom prst="rect">
                      <a:avLst/>
                    </a:prstGeom>
                    <a:noFill/>
                    <a:ln>
                      <a:noFill/>
                    </a:ln>
                  </pic:spPr>
                </pic:pic>
              </a:graphicData>
            </a:graphic>
          </wp:inline>
        </w:drawing>
      </w:r>
    </w:p>
    <w:p>
      <w:pPr>
        <w:pStyle w:val="8"/>
        <w:rPr>
          <w:rFonts w:hint="eastAsia"/>
        </w:rPr>
      </w:pPr>
      <w:bookmarkStart w:id="13" w:name="_Ref1618367392"/>
      <w:r>
        <w:t xml:space="preserve">图 </w:t>
      </w:r>
      <w:bookmarkEnd w:id="13"/>
      <w:r>
        <w:rPr>
          <w:rFonts w:hint="eastAsia"/>
          <w:lang w:val="en-US" w:eastAsia="zh-CN"/>
        </w:rPr>
        <w:t>10</w:t>
      </w:r>
      <w:r>
        <w:rPr>
          <w:rFonts w:hint="eastAsia"/>
        </w:rPr>
        <w:t>教堂壁龛及柱式排列特征，来源：作者自绘</w:t>
      </w:r>
    </w:p>
    <w:p>
      <w:pPr>
        <w:ind w:firstLine="420"/>
      </w:pPr>
      <w:r>
        <w:rPr>
          <w:rFonts w:hint="eastAsia"/>
        </w:rPr>
        <w:t>在四泉圣卡洛教堂的结构设计中，博罗米尼借鉴了拜占庭建筑圣索菲亚大教堂的帆拱结构，使底部鼓座与椭圆穹顶自然过渡。穹顶设计基于椭圆平面展开，通过内柱上楣构及外部鼓座的连续曲直图案，实现下部墙面与上部穹顶的几何衔接，营造出整体的视觉贯通效果。中央穹顶区域与四个半壁龛空间相互交织，形成层次丰富的视觉体验，使观者在空间中移动时感受到</w:t>
      </w:r>
      <w:r>
        <w:t>多维度的空间转换</w:t>
      </w:r>
      <w:r>
        <w:rPr>
          <w:rFonts w:hint="eastAsia"/>
        </w:rPr>
        <w:t>。穹顶顶部，四个半穹与帆拱最终在椭圆环位置汇合，通过引入自然光线进一步强化了穹顶的视觉动态效果。在穹顶装饰中，博罗米尼借用基于平面几何控制的十字与八边形几何图案象征天主教的信仰，通过不等比例的缩放增强透视深度，以几何图案的递进延展呈现抽象的天堂隐喻</w:t>
      </w:r>
      <w:r>
        <w:rPr>
          <w:rFonts w:hint="eastAsia"/>
          <w:lang w:eastAsia="zh-CN"/>
        </w:rPr>
        <w:t>（</w:t>
      </w:r>
      <w:r>
        <w:rPr>
          <w:rFonts w:hint="eastAsia"/>
          <w:lang w:val="en-US" w:eastAsia="zh-CN"/>
        </w:rPr>
        <w:t>图10</w:t>
      </w:r>
      <w:r>
        <w:rPr>
          <w:rFonts w:hint="eastAsia"/>
          <w:lang w:eastAsia="zh-CN"/>
        </w:rPr>
        <w:t>）</w:t>
      </w:r>
      <w:r>
        <w:rPr>
          <w:rFonts w:hint="eastAsia"/>
        </w:rPr>
        <w:t>。与传统穹顶直接置于矩形底座的方式不同，圣卡洛教堂通过几何图形的精妙运用与结构理性的清晰融合，实现了穹顶与底部结构的连贯衔接，将希腊十字穹顶形制合理变形，并以柱式细节的塑造加以强调，整体构成和谐一致的系统。</w:t>
      </w:r>
    </w:p>
    <w:p>
      <w:pPr>
        <w:ind w:firstLine="420"/>
        <w:rPr>
          <w:rFonts w:hint="eastAsia"/>
        </w:rPr>
      </w:pPr>
      <w:r>
        <w:rPr>
          <w:rFonts w:hint="eastAsia"/>
        </w:rPr>
        <w:t>博罗米尼在圣依渥礼拜堂的设计中延续几何逻辑</w:t>
      </w:r>
      <w:r>
        <w:rPr>
          <w:rFonts w:hint="eastAsia"/>
          <w:lang w:val="en-US" w:eastAsia="zh-CN"/>
        </w:rPr>
        <w:t>控制生成的方法</w:t>
      </w:r>
      <w:r>
        <w:rPr>
          <w:rFonts w:hint="eastAsia"/>
        </w:rPr>
        <w:t>，通过六边形结构在平面和垂直方向的均匀分布，使建筑自地面至穹顶形成层层相连的和谐整体。在竖向设计中，他采用类似“笼状”的六根壁柱编织结构，贯穿多层平面调整，成为建筑空间与结构连续性的核心。落在六边形边界上的壁柱限定了六瓣划分的界面，向上竖向延伸，通过中断和简化使楣构呈现清晰的六瓣平面布局，在穹顶区域置换成同样对应结构构件的肋拱，支撑中央采光亭，与穹顶形成整体呼应。穹顶底部的复杂图形也沿竖向结构向上延伸，逐渐在顶部转化为饰满星形图案的圆环，赋予空间视觉连贯性。这一体系在采光亭处终止，六扇侧窗使光线自上洒入，为穹顶赋予象征天国的光辉</w:t>
      </w:r>
      <w:r>
        <w:rPr>
          <w:rFonts w:hint="eastAsia"/>
          <w:lang w:eastAsia="zh-CN"/>
        </w:rPr>
        <w:t>（</w:t>
      </w:r>
      <w:r>
        <w:rPr>
          <w:rFonts w:hint="eastAsia"/>
          <w:lang w:val="en-US" w:eastAsia="zh-CN"/>
        </w:rPr>
        <w:t>图11，</w:t>
      </w:r>
      <w:r>
        <w:rPr>
          <w:rFonts w:hint="default"/>
          <w:lang w:val="en-US" w:eastAsia="zh-CN"/>
        </w:rPr>
        <w:t>a.b</w:t>
      </w:r>
      <w:r>
        <w:rPr>
          <w:rFonts w:hint="eastAsia"/>
          <w:lang w:eastAsia="zh-CN"/>
        </w:rPr>
        <w:t>）</w:t>
      </w:r>
      <w:r>
        <w:rPr>
          <w:rFonts w:hint="eastAsia"/>
        </w:rPr>
        <w:t>。同样的，在穹顶外部，环形鼓座围绕柱上楣构设置，六瓣分布的环形鼓座通过相隔的类飞扶壁构件进行划分，并通过简化的爱奥尼元素加以装饰，实现穹顶与屋顶的自然过渡，进一步增强平面结构的完整性。</w:t>
      </w:r>
    </w:p>
    <w:p>
      <w:pPr>
        <w:pStyle w:val="8"/>
      </w:pPr>
      <w:r>
        <w:drawing>
          <wp:inline distT="0" distB="0" distL="114300" distR="114300">
            <wp:extent cx="4551045" cy="3683000"/>
            <wp:effectExtent l="0" t="0" r="20955" b="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16"/>
                    <a:stretch>
                      <a:fillRect/>
                    </a:stretch>
                  </pic:blipFill>
                  <pic:spPr>
                    <a:xfrm>
                      <a:off x="0" y="0"/>
                      <a:ext cx="4551045" cy="3683000"/>
                    </a:xfrm>
                    <a:prstGeom prst="rect">
                      <a:avLst/>
                    </a:prstGeom>
                    <a:noFill/>
                    <a:ln>
                      <a:noFill/>
                    </a:ln>
                  </pic:spPr>
                </pic:pic>
              </a:graphicData>
            </a:graphic>
          </wp:inline>
        </w:drawing>
      </w:r>
    </w:p>
    <w:p>
      <w:pPr>
        <w:pStyle w:val="8"/>
      </w:pPr>
      <w:bookmarkStart w:id="14" w:name="_Ref1564439819"/>
      <w:bookmarkStart w:id="15" w:name="_Ref1568002903"/>
      <w:r>
        <w:t>图</w:t>
      </w:r>
      <w:r>
        <w:rPr>
          <w:rFonts w:hint="eastAsia"/>
          <w:lang w:val="en-US" w:eastAsia="zh-CN"/>
        </w:rPr>
        <w:t>11</w:t>
      </w:r>
      <w:bookmarkEnd w:id="14"/>
      <w:r>
        <w:rPr>
          <w:rFonts w:hint="eastAsia"/>
        </w:rPr>
        <w:t>圣依渥礼拜堂中的形式与结构对应关系</w:t>
      </w:r>
      <w:bookmarkStart w:id="16" w:name="_Hlk73322740"/>
      <w:bookmarkStart w:id="17" w:name="_Hlk73322741"/>
      <w:r>
        <w:rPr>
          <w:rFonts w:hint="eastAsia"/>
        </w:rPr>
        <w:t>，来源：a.《作品集》（</w:t>
      </w:r>
      <w:r>
        <w:t>Opera</w:t>
      </w:r>
      <w:r>
        <w:rPr>
          <w:rFonts w:hint="eastAsia"/>
        </w:rPr>
        <w:t>）</w:t>
      </w:r>
      <w:bookmarkStart w:id="18" w:name="_Ref1873735786"/>
      <w:r>
        <w:rPr>
          <w:rStyle w:val="21"/>
          <w:rFonts w:hint="eastAsia"/>
        </w:rPr>
        <w:t>[</w:t>
      </w:r>
      <w:bookmarkEnd w:id="18"/>
      <w:r>
        <w:rPr>
          <w:rFonts w:hint="eastAsia"/>
        </w:rPr>
        <w:fldChar w:fldCharType="begin"/>
      </w:r>
      <w:r>
        <w:rPr>
          <w:rFonts w:hint="eastAsia"/>
        </w:rPr>
        <w:instrText xml:space="preserve"> NOTEREF _Ref1683460903 \f \h </w:instrText>
      </w:r>
      <w:r>
        <w:rPr>
          <w:rFonts w:hint="eastAsia"/>
        </w:rPr>
        <w:fldChar w:fldCharType="separate"/>
      </w:r>
      <w:r>
        <w:rPr>
          <w:rFonts w:hint="eastAsia"/>
          <w:vertAlign w:val="superscript"/>
        </w:rPr>
        <w:t>17</w:t>
      </w:r>
      <w:r>
        <w:rPr>
          <w:rFonts w:hint="eastAsia"/>
        </w:rPr>
        <w:fldChar w:fldCharType="end"/>
      </w:r>
      <w:r>
        <w:rPr>
          <w:rStyle w:val="21"/>
          <w:rFonts w:hint="eastAsia"/>
        </w:rPr>
        <w:t>]</w:t>
      </w:r>
      <w:r>
        <w:t>；b.</w:t>
      </w:r>
      <w:bookmarkEnd w:id="15"/>
      <w:bookmarkEnd w:id="16"/>
      <w:bookmarkEnd w:id="17"/>
      <w:r>
        <w:t>c.作者自摄</w:t>
      </w:r>
      <w:r>
        <w:rPr>
          <w:rFonts w:hint="eastAsia"/>
        </w:rPr>
        <w:t>；</w:t>
      </w:r>
      <w:r>
        <w:t>d.</w:t>
      </w:r>
      <w:r>
        <w:rPr>
          <w:rFonts w:hint="eastAsia"/>
        </w:rPr>
        <w:t>文献</w:t>
      </w:r>
      <w:r>
        <w:rPr>
          <w:rStyle w:val="21"/>
          <w:rFonts w:hint="eastAsia"/>
        </w:rPr>
        <w:t>[</w:t>
      </w:r>
      <w:r>
        <w:rPr>
          <w:rFonts w:hint="eastAsia"/>
        </w:rPr>
        <w:fldChar w:fldCharType="begin"/>
      </w:r>
      <w:r>
        <w:rPr>
          <w:rFonts w:hint="eastAsia"/>
        </w:rPr>
        <w:instrText xml:space="preserve"> NOTEREF _Ref1683460903 \f \h </w:instrText>
      </w:r>
      <w:r>
        <w:rPr>
          <w:rFonts w:hint="eastAsia"/>
        </w:rPr>
        <w:fldChar w:fldCharType="separate"/>
      </w:r>
      <w:r>
        <w:rPr>
          <w:rFonts w:hint="eastAsia"/>
          <w:vertAlign w:val="superscript"/>
        </w:rPr>
        <w:t>17</w:t>
      </w:r>
      <w:r>
        <w:rPr>
          <w:rFonts w:hint="eastAsia"/>
        </w:rPr>
        <w:fldChar w:fldCharType="end"/>
      </w:r>
      <w:r>
        <w:rPr>
          <w:rStyle w:val="21"/>
          <w:rFonts w:hint="eastAsia"/>
        </w:rPr>
        <w:t>]</w:t>
      </w:r>
    </w:p>
    <w:p>
      <w:pPr>
        <w:ind w:firstLine="420"/>
      </w:pPr>
      <w:r>
        <w:rPr>
          <w:rFonts w:hint="eastAsia"/>
        </w:rPr>
        <w:t>圣依渥礼拜堂的结构系统也表现出，博罗米尼在有限的空间内追求更大的尺度与体量，扩展室内空间的设计意图。在基石分布的设置中，他使鼓座墙体贴近柱廊边界，建筑结构以点状布局为内部设计提供操作空间。半圆弧形礼拜室在边界限定内达到最大尺度，六边形的布局进一步拓展了抹角三角形礼拜室的可使用面积，同时减少了穹顶的厚度</w:t>
      </w:r>
      <w:r>
        <w:rPr>
          <w:rFonts w:hint="eastAsia"/>
          <w:lang w:eastAsia="zh-CN"/>
        </w:rPr>
        <w:t>（</w:t>
      </w:r>
      <w:r>
        <w:rPr>
          <w:rFonts w:hint="eastAsia"/>
          <w:lang w:val="en-US" w:eastAsia="zh-CN"/>
        </w:rPr>
        <w:t>图11，</w:t>
      </w:r>
      <w:r>
        <w:rPr>
          <w:rFonts w:hint="default"/>
          <w:lang w:val="en-US" w:eastAsia="zh-CN"/>
        </w:rPr>
        <w:t>c.d</w:t>
      </w:r>
      <w:r>
        <w:rPr>
          <w:rFonts w:hint="eastAsia"/>
          <w:lang w:eastAsia="zh-CN"/>
        </w:rPr>
        <w:t>）</w:t>
      </w:r>
      <w:r>
        <w:rPr>
          <w:rFonts w:hint="eastAsia"/>
        </w:rPr>
        <w:t>。点式结构的优越性同时带来采光设置的自由，使得教堂内部光线与氛围的设置在空间层次上的布置成为可能。</w:t>
      </w:r>
    </w:p>
    <w:p>
      <w:pPr>
        <w:ind w:firstLine="420"/>
        <w:rPr>
          <w:color w:val="0000FF"/>
          <w:highlight w:val="green"/>
        </w:rPr>
      </w:pPr>
      <w:r>
        <w:rPr>
          <w:rFonts w:hint="eastAsia"/>
          <w:color w:val="0000FF"/>
          <w:lang w:val="en-US" w:eastAsia="zh-CN"/>
        </w:rPr>
        <w:t>如同</w:t>
      </w:r>
      <w:r>
        <w:rPr>
          <w:rFonts w:hint="eastAsia"/>
          <w:color w:val="0000FF"/>
        </w:rPr>
        <w:t>阿尔伯蒂对几何比例严谨控制的理念，博罗米尼在其建筑设计中</w:t>
      </w:r>
      <w:r>
        <w:rPr>
          <w:rFonts w:hint="eastAsia"/>
          <w:color w:val="0000FF"/>
          <w:lang w:val="en-US" w:eastAsia="zh-CN"/>
        </w:rPr>
        <w:t>设定的生成规则</w:t>
      </w:r>
      <w:r>
        <w:rPr>
          <w:rFonts w:hint="eastAsia"/>
          <w:color w:val="0000FF"/>
        </w:rPr>
        <w:t>，逐层细化几何形体，将建筑构件如柱子精准地置于几何图形的转折点上，进而实现在几何秩序控制下的空间细部与形体统一的高度协调，为其建筑体系注入了独特的表现力与宗教内涵。</w:t>
      </w:r>
    </w:p>
    <w:bookmarkEnd w:id="11"/>
    <w:bookmarkEnd w:id="12"/>
    <w:p>
      <w:pPr>
        <w:pStyle w:val="4"/>
        <w:numPr>
          <w:ilvl w:val="0"/>
          <w:numId w:val="3"/>
        </w:numPr>
        <w:tabs>
          <w:tab w:val="left" w:pos="0"/>
        </w:tabs>
        <w:spacing w:before="156" w:after="156"/>
        <w:rPr>
          <w:color w:val="0000FF"/>
          <w:lang w:eastAsia="zh-Hans"/>
        </w:rPr>
      </w:pPr>
      <w:r>
        <w:rPr>
          <w:rFonts w:hint="eastAsia"/>
          <w:color w:val="0000FF"/>
        </w:rPr>
        <w:t>几何秩序的层级融合</w:t>
      </w:r>
    </w:p>
    <w:p>
      <w:pPr>
        <w:ind w:firstLine="420"/>
        <w:rPr>
          <w:color w:val="0000FF"/>
        </w:rPr>
      </w:pPr>
      <w:r>
        <w:rPr>
          <w:rFonts w:hint="eastAsia"/>
          <w:color w:val="0000FF"/>
        </w:rPr>
        <w:t>博罗米尼对几何系统的运用体现了其对宗教哲学的深入理解，并通过建筑层级结构将这一理解转化为空间表达，进而实现了宗教哲学与建筑空间的系统性融合。其设计思想既在城市层面奠定了建筑的整体秩序，也在建筑内部通过几何控制统筹各层级，优化了空间布局，展现出高度一致的空间秩序与结构逻辑。</w:t>
      </w:r>
    </w:p>
    <w:p>
      <w:pPr>
        <w:ind w:firstLine="420"/>
        <w:rPr>
          <w:color w:val="0000FF"/>
        </w:rPr>
      </w:pPr>
      <w:r>
        <w:rPr>
          <w:rFonts w:hint="eastAsia"/>
          <w:color w:val="0000FF"/>
        </w:rPr>
        <w:t>在平面系统中，几何图形的应用是顺应宗教的象征需求。在四泉圣卡洛教堂中，拉长的椭圆平面不仅适应了场地的形态和尺度需求，还传达了宗教哲学的象征内涵；圣依渥礼拜堂则以六边形为基础，通过三角形的衍生形态呼应宗教中的三位一体理念，并映射巴贝里尼家族家徽中的蜜蜂意象，其头部、尾部及展开的足部在周边形成延展的壁龛</w:t>
      </w:r>
      <w:r>
        <w:rPr>
          <w:rFonts w:hint="eastAsia"/>
          <w:color w:val="0000FF"/>
          <w:lang w:eastAsia="zh-CN"/>
        </w:rPr>
        <w:t>（</w:t>
      </w:r>
      <w:r>
        <w:rPr>
          <w:rFonts w:hint="eastAsia"/>
          <w:color w:val="0000FF"/>
          <w:lang w:val="en-US" w:eastAsia="zh-CN"/>
        </w:rPr>
        <w:t>图12</w:t>
      </w:r>
      <w:r>
        <w:rPr>
          <w:rFonts w:hint="eastAsia"/>
          <w:color w:val="0000FF"/>
          <w:lang w:eastAsia="zh-CN"/>
        </w:rPr>
        <w:t>）</w:t>
      </w:r>
      <w:r>
        <w:rPr>
          <w:rFonts w:hint="eastAsia"/>
          <w:color w:val="0000FF"/>
        </w:rPr>
        <w:t>。这一几何层级特征在整体空间秩序中进一步展现，几何图形在设计过程中主导建筑形体竖向的生成，通过引入更高阶的控制逻辑，推动设计演化为复杂的空间结构。</w:t>
      </w:r>
    </w:p>
    <w:p>
      <w:pPr>
        <w:pStyle w:val="8"/>
      </w:pPr>
      <w:r>
        <w:drawing>
          <wp:inline distT="0" distB="0" distL="114300" distR="114300">
            <wp:extent cx="5270500" cy="2291080"/>
            <wp:effectExtent l="0" t="0" r="12700" b="20320"/>
            <wp:docPr id="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pic:cNvPicPr>
                      <a:picLocks noChangeAspect="1"/>
                    </pic:cNvPicPr>
                  </pic:nvPicPr>
                  <pic:blipFill>
                    <a:blip r:embed="rId17"/>
                    <a:stretch>
                      <a:fillRect/>
                    </a:stretch>
                  </pic:blipFill>
                  <pic:spPr>
                    <a:xfrm>
                      <a:off x="0" y="0"/>
                      <a:ext cx="5270500" cy="2291080"/>
                    </a:xfrm>
                    <a:prstGeom prst="rect">
                      <a:avLst/>
                    </a:prstGeom>
                    <a:noFill/>
                    <a:ln>
                      <a:noFill/>
                    </a:ln>
                  </pic:spPr>
                </pic:pic>
              </a:graphicData>
            </a:graphic>
          </wp:inline>
        </w:drawing>
      </w:r>
    </w:p>
    <w:p>
      <w:pPr>
        <w:pStyle w:val="8"/>
      </w:pPr>
      <w:bookmarkStart w:id="19" w:name="_Ref1999171681"/>
      <w:r>
        <w:t xml:space="preserve">图 </w:t>
      </w:r>
      <w:bookmarkEnd w:id="19"/>
      <w:r>
        <w:rPr>
          <w:rFonts w:hint="eastAsia"/>
          <w:lang w:val="en-US" w:eastAsia="zh-CN"/>
        </w:rPr>
        <w:t>12</w:t>
      </w:r>
      <w:r>
        <w:rPr>
          <w:rFonts w:hint="eastAsia"/>
        </w:rPr>
        <w:t>教堂平面秩序中的哲学隐喻，来源：a</w:t>
      </w:r>
      <w:r>
        <w:t>.</w:t>
      </w:r>
      <w:r>
        <w:rPr>
          <w:rFonts w:hint="eastAsia"/>
        </w:rPr>
        <w:t>作者自摄，平面底图源自《作品集》（Opera）；a</w:t>
      </w:r>
      <w:r>
        <w:t>.b.</w:t>
      </w:r>
      <w:r>
        <w:rPr>
          <w:rFonts w:hint="eastAsia"/>
        </w:rPr>
        <w:t>分析作者自绘</w:t>
      </w:r>
    </w:p>
    <w:p>
      <w:pPr>
        <w:ind w:firstLine="420"/>
      </w:pPr>
      <w:r>
        <w:rPr>
          <w:rFonts w:hint="eastAsia"/>
        </w:rPr>
        <w:t>在空间结构设计中，博罗米尼将柱、墙、穹顶视作整体进行考量，柱式设计受米开朗基罗雕塑风格启发，通过抹角四边形框架将圣卡洛教堂的结构与墙体有机融合，并延伸至穹顶区域，各构件之间的边界在层级系统中被模糊化，建筑整体成为各部分紧密联系的统一体。在圣依渥礼拜堂中，几何控制逻辑贯穿始终，赋予结构与空间双重意义；博罗米尼以穹顶为核心逐步构建结构体系，再行平面布局。自地基至采光亭，结构系统均依循六边形秩序，包括基础、墙体、柱式、楣构、鼓座和穹顶，使建筑整体展现出高度统一的系统性</w:t>
      </w:r>
      <w:r>
        <w:rPr>
          <w:rFonts w:hint="eastAsia"/>
          <w:lang w:eastAsia="zh-CN"/>
        </w:rPr>
        <w:t>（</w:t>
      </w:r>
      <w:r>
        <w:rPr>
          <w:rFonts w:hint="eastAsia"/>
          <w:lang w:val="en-US" w:eastAsia="zh-CN"/>
        </w:rPr>
        <w:t>图13</w:t>
      </w:r>
      <w:r>
        <w:rPr>
          <w:rFonts w:hint="eastAsia"/>
          <w:lang w:eastAsia="zh-CN"/>
        </w:rPr>
        <w:t>）</w:t>
      </w:r>
      <w:r>
        <w:rPr>
          <w:rFonts w:hint="eastAsia"/>
        </w:rPr>
        <w:t>。局部界面和节点的细节处理进一步强化了层级特质，穹顶上部的几何图形由柱上楣构向上延展至顶端，并向四周扩展，象征着无限延展的秩序。</w:t>
      </w:r>
    </w:p>
    <w:p>
      <w:pPr>
        <w:pStyle w:val="8"/>
      </w:pPr>
      <w:r>
        <w:drawing>
          <wp:inline distT="0" distB="0" distL="114300" distR="114300">
            <wp:extent cx="5400040" cy="2785110"/>
            <wp:effectExtent l="0" t="0" r="10160" b="15240"/>
            <wp:docPr id="1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2"/>
                    <pic:cNvPicPr>
                      <a:picLocks noChangeAspect="1"/>
                    </pic:cNvPicPr>
                  </pic:nvPicPr>
                  <pic:blipFill>
                    <a:blip r:embed="rId18"/>
                    <a:stretch>
                      <a:fillRect/>
                    </a:stretch>
                  </pic:blipFill>
                  <pic:spPr>
                    <a:xfrm>
                      <a:off x="0" y="0"/>
                      <a:ext cx="5400040" cy="2785110"/>
                    </a:xfrm>
                    <a:prstGeom prst="rect">
                      <a:avLst/>
                    </a:prstGeom>
                    <a:noFill/>
                    <a:ln>
                      <a:noFill/>
                    </a:ln>
                  </pic:spPr>
                </pic:pic>
              </a:graphicData>
            </a:graphic>
          </wp:inline>
        </w:drawing>
      </w:r>
    </w:p>
    <w:p>
      <w:pPr>
        <w:pStyle w:val="8"/>
        <w:rPr>
          <w:rStyle w:val="21"/>
        </w:rPr>
      </w:pPr>
      <w:bookmarkStart w:id="20" w:name="_Ref1308177400"/>
      <w:r>
        <w:t xml:space="preserve">图 </w:t>
      </w:r>
      <w:bookmarkEnd w:id="20"/>
      <w:r>
        <w:rPr>
          <w:rFonts w:hint="eastAsia"/>
          <w:lang w:val="en-US" w:eastAsia="zh-CN"/>
        </w:rPr>
        <w:t>13</w:t>
      </w:r>
      <w:r>
        <w:rPr>
          <w:rFonts w:hint="eastAsia"/>
        </w:rPr>
        <w:t>博罗米尼系统构建，系统层级分析及对比，来源：作者自绘，根据</w:t>
      </w:r>
      <w:r>
        <w:rPr>
          <w:rFonts w:hint="eastAsia"/>
          <w:lang w:eastAsia="zh-Hans"/>
        </w:rPr>
        <w:t>参考文献</w:t>
      </w:r>
      <w:r>
        <w:rPr>
          <w:rStyle w:val="21"/>
          <w:rFonts w:hint="eastAsia"/>
          <w:lang w:eastAsia="zh-Hans"/>
        </w:rPr>
        <w:t>[</w:t>
      </w:r>
      <w:r>
        <w:rPr>
          <w:rStyle w:val="21"/>
          <w:rFonts w:hint="eastAsia"/>
          <w:lang w:eastAsia="zh-Hans"/>
        </w:rPr>
        <w:endnoteReference w:id="20"/>
      </w:r>
      <w:r>
        <w:rPr>
          <w:rStyle w:val="21"/>
          <w:rFonts w:hint="eastAsia"/>
          <w:lang w:eastAsia="zh-Hans"/>
        </w:rPr>
        <w:t>]</w:t>
      </w:r>
      <w:r>
        <w:rPr>
          <w:rFonts w:hint="eastAsia"/>
          <w:lang w:eastAsia="zh-Hans"/>
        </w:rPr>
        <w:t>绘制</w:t>
      </w:r>
      <w:r>
        <w:rPr>
          <w:rFonts w:hint="eastAsia"/>
        </w:rPr>
        <w:t>，圣依渥礼拜堂</w:t>
      </w:r>
      <w:r>
        <w:rPr>
          <w:rFonts w:hint="eastAsia"/>
          <w:lang w:eastAsia="zh-Hans"/>
        </w:rPr>
        <w:t>平面几何逻辑</w:t>
      </w:r>
      <w:r>
        <w:rPr>
          <w:rFonts w:hint="eastAsia"/>
        </w:rPr>
        <w:t>参考Smyth-Pinney分析，见文献</w:t>
      </w:r>
      <w:r>
        <w:rPr>
          <w:rStyle w:val="21"/>
          <w:rFonts w:hint="eastAsia"/>
        </w:rPr>
        <w:t>[</w:t>
      </w:r>
      <w:bookmarkStart w:id="21" w:name="_Ref2067635309"/>
      <w:r>
        <w:rPr>
          <w:rStyle w:val="21"/>
          <w:rFonts w:hint="eastAsia"/>
        </w:rPr>
        <w:endnoteReference w:id="21"/>
      </w:r>
      <w:bookmarkEnd w:id="21"/>
      <w:r>
        <w:rPr>
          <w:rStyle w:val="21"/>
          <w:rFonts w:hint="eastAsia"/>
        </w:rPr>
        <w:t>]</w:t>
      </w:r>
    </w:p>
    <w:p>
      <w:pPr>
        <w:ind w:firstLine="420"/>
        <w:rPr>
          <w:highlight w:val="green"/>
        </w:rPr>
      </w:pPr>
      <w:r>
        <w:rPr>
          <w:rFonts w:hint="eastAsia"/>
        </w:rPr>
        <w:t>在圣依渥礼拜堂与四泉圣卡洛教堂中，博罗米尼通过几何语言的层级化运用，将空间组织、结构逻辑与宗教哲学深度融合，并以几何为纽带，统一城市与建筑、结构与装饰，精准展现建筑空间的内在逻辑。这种将建筑形式与宗教象征结合的方式，不仅超越了视觉美学的范畴，更为巴洛克建筑注入了全新的生命力。</w:t>
      </w:r>
    </w:p>
    <w:p>
      <w:pPr>
        <w:pStyle w:val="3"/>
        <w:numPr>
          <w:ilvl w:val="0"/>
          <w:numId w:val="2"/>
        </w:numPr>
      </w:pPr>
      <w:r>
        <w:rPr>
          <w:rFonts w:hint="eastAsia"/>
          <w:lang w:eastAsia="zh-Hans"/>
        </w:rPr>
        <w:t>几何</w:t>
      </w:r>
      <w:r>
        <w:rPr>
          <w:rFonts w:hint="eastAsia"/>
          <w:lang w:val="en-US" w:eastAsia="zh-CN"/>
        </w:rPr>
        <w:t>秩序</w:t>
      </w:r>
      <w:r>
        <w:rPr>
          <w:rFonts w:hint="eastAsia"/>
          <w:lang w:eastAsia="zh-Hans"/>
        </w:rPr>
        <w:t>的延续：博罗米尼对后世的启示</w:t>
      </w:r>
    </w:p>
    <w:p>
      <w:pPr>
        <w:ind w:firstLine="420"/>
        <w:rPr>
          <w:rFonts w:hint="eastAsia"/>
          <w:color w:val="0000FF"/>
          <w:lang w:val="en-US" w:eastAsia="zh-CN"/>
        </w:rPr>
      </w:pPr>
      <w:r>
        <w:rPr>
          <w:rFonts w:hint="eastAsia"/>
          <w:color w:val="0000FF"/>
          <w:lang w:val="en-US" w:eastAsia="zh-CN"/>
        </w:rPr>
        <w:t>以</w:t>
      </w:r>
      <w:r>
        <w:rPr>
          <w:rFonts w:hint="eastAsia"/>
          <w:color w:val="0000FF"/>
        </w:rPr>
        <w:t>几何控制的平面布局已在建筑历史中延续良久，</w:t>
      </w:r>
      <w:r>
        <w:rPr>
          <w:rFonts w:hint="eastAsia"/>
          <w:color w:val="0000FF"/>
          <w:lang w:val="en-US" w:eastAsia="zh-CN"/>
        </w:rPr>
        <w:t>但其在表达上的潜力往往因时代的局限性而被束缚。文艺复兴末期，维尼奥拉在圣安娜教堂（Santa Anna dei Palafrenieri，1572）中，通过长短轴的对称构图与功能分区确立了集中式教堂的几何框架，但其设计更关注几何形式的静态平衡，未能深入探讨几何在空间动态塑造和建筑逻辑整合中的深层价值（图14，</w:t>
      </w:r>
      <w:r>
        <w:rPr>
          <w:rFonts w:hint="default"/>
          <w:color w:val="0000FF"/>
          <w:lang w:val="en-US" w:eastAsia="zh-CN"/>
        </w:rPr>
        <w:t>b.c</w:t>
      </w:r>
      <w:r>
        <w:rPr>
          <w:rFonts w:hint="eastAsia"/>
          <w:color w:val="0000FF"/>
          <w:lang w:val="en-US" w:eastAsia="zh-CN"/>
        </w:rPr>
        <w:t>）。同样，巴洛克中期的贝尼尼在圣安德烈奎里纳尔堂中，虽然结合几何平面与装饰语言营造出强烈的视觉冲击，但其戏剧化布局更多依赖于表层的感官满足，较少触及几何平面对建筑秩序与空间深度的本质性探索（图14，</w:t>
      </w:r>
      <w:r>
        <w:rPr>
          <w:rFonts w:hint="default"/>
          <w:color w:val="0000FF"/>
          <w:lang w:val="en-US" w:eastAsia="zh-CN"/>
        </w:rPr>
        <w:t>e.f</w:t>
      </w:r>
      <w:r>
        <w:rPr>
          <w:rFonts w:hint="eastAsia"/>
          <w:color w:val="0000FF"/>
          <w:lang w:val="en-US" w:eastAsia="zh-CN"/>
        </w:rPr>
        <w:t>）。相比之下，博罗米尼在圣卡洛教堂及</w:t>
      </w:r>
      <w:r>
        <w:rPr>
          <w:rFonts w:hint="eastAsia"/>
          <w:color w:val="0000FF"/>
        </w:rPr>
        <w:t>圣依渥礼拜堂</w:t>
      </w:r>
      <w:r>
        <w:rPr>
          <w:rFonts w:hint="eastAsia"/>
          <w:color w:val="0000FF"/>
          <w:lang w:val="en-US" w:eastAsia="zh-CN"/>
        </w:rPr>
        <w:t>中，他将几何从静态的形式基础转化为动态的构造原则，通过曲线与光影的交织，赋予空间以包裹感和精神内涵。更为重要的是，他将几何平面融入建筑系统，超越了单一构图的局限，将装饰、结构与宗教意涵内化为统一由几何统领的建筑语言。</w:t>
      </w:r>
    </w:p>
    <w:p>
      <w:pPr>
        <w:ind w:firstLine="0" w:firstLineChars="0"/>
        <w:rPr>
          <w:rFonts w:hint="eastAsia"/>
          <w:color w:val="0000FF"/>
        </w:rPr>
      </w:pPr>
      <w:r>
        <w:rPr>
          <w:color w:val="0000FF"/>
        </w:rPr>
        <w:drawing>
          <wp:inline distT="0" distB="0" distL="114300" distR="114300">
            <wp:extent cx="5039995" cy="1976120"/>
            <wp:effectExtent l="0" t="0" r="14605" b="5080"/>
            <wp:docPr id="2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6"/>
                    <pic:cNvPicPr>
                      <a:picLocks noChangeAspect="1"/>
                    </pic:cNvPicPr>
                  </pic:nvPicPr>
                  <pic:blipFill>
                    <a:blip r:embed="rId19"/>
                    <a:stretch>
                      <a:fillRect/>
                    </a:stretch>
                  </pic:blipFill>
                  <pic:spPr>
                    <a:xfrm>
                      <a:off x="0" y="0"/>
                      <a:ext cx="5039995" cy="1976120"/>
                    </a:xfrm>
                    <a:prstGeom prst="rect">
                      <a:avLst/>
                    </a:prstGeom>
                    <a:noFill/>
                    <a:ln>
                      <a:noFill/>
                    </a:ln>
                  </pic:spPr>
                </pic:pic>
              </a:graphicData>
            </a:graphic>
          </wp:inline>
        </w:drawing>
      </w:r>
    </w:p>
    <w:p>
      <w:pPr>
        <w:pStyle w:val="8"/>
        <w:ind w:firstLineChars="0"/>
        <w:rPr>
          <w:rFonts w:hint="eastAsia" w:eastAsia="宋体"/>
          <w:color w:val="0000FF"/>
          <w:sz w:val="18"/>
          <w:lang w:val="en-US" w:eastAsia="zh-CN"/>
        </w:rPr>
      </w:pPr>
      <w:r>
        <w:rPr>
          <w:color w:val="0000FF"/>
        </w:rPr>
        <w:t>图</w:t>
      </w:r>
      <w:r>
        <w:rPr>
          <w:rFonts w:hint="eastAsia"/>
          <w:color w:val="0000FF"/>
          <w:lang w:val="en-US" w:eastAsia="zh-CN"/>
        </w:rPr>
        <w:t>14文艺复兴末期与巴洛克中期椭圆型教堂对比</w:t>
      </w:r>
      <w:r>
        <w:rPr>
          <w:rFonts w:hint="eastAsia"/>
          <w:color w:val="0000FF"/>
        </w:rPr>
        <w:t>，来源</w:t>
      </w:r>
      <w:r>
        <w:rPr>
          <w:rFonts w:hint="eastAsia" w:eastAsia="宋体"/>
          <w:color w:val="0000FF"/>
          <w:sz w:val="18"/>
          <w:lang w:val="en-US" w:eastAsia="zh-CN"/>
        </w:rPr>
        <w:t>a.b.</w:t>
      </w:r>
      <w:r>
        <w:rPr>
          <w:rFonts w:hint="eastAsia" w:eastAsia="宋体"/>
          <w:color w:val="0000FF"/>
          <w:sz w:val="18"/>
        </w:rPr>
        <w:t xml:space="preserve"> www.churches-of-rome.info ；</w:t>
      </w:r>
      <w:r>
        <w:rPr>
          <w:rFonts w:hint="eastAsia" w:eastAsia="宋体"/>
          <w:color w:val="0000FF"/>
          <w:sz w:val="18"/>
          <w:lang w:val="en-US" w:eastAsia="zh-CN"/>
        </w:rPr>
        <w:t>c.见文献[</w:t>
      </w:r>
      <w:r>
        <w:rPr>
          <w:rFonts w:hint="eastAsia" w:eastAsia="宋体"/>
          <w:color w:val="0000FF"/>
          <w:sz w:val="18"/>
          <w:lang w:val="en-US" w:eastAsia="zh-CN"/>
        </w:rPr>
        <w:endnoteReference w:id="22"/>
      </w:r>
      <w:r>
        <w:rPr>
          <w:rFonts w:hint="eastAsia" w:eastAsia="宋体"/>
          <w:color w:val="0000FF"/>
          <w:sz w:val="18"/>
          <w:lang w:val="en-US" w:eastAsia="zh-CN"/>
        </w:rPr>
        <w:t>]；d.f.作者自摄；e.见文献[</w:t>
      </w:r>
      <w:r>
        <w:rPr>
          <w:rFonts w:hint="eastAsia" w:eastAsia="宋体"/>
          <w:color w:val="0000FF"/>
          <w:sz w:val="18"/>
          <w:lang w:val="en-US" w:eastAsia="zh-CN"/>
        </w:rPr>
        <w:fldChar w:fldCharType="begin"/>
      </w:r>
      <w:r>
        <w:rPr>
          <w:rFonts w:hint="eastAsia" w:eastAsia="宋体"/>
          <w:color w:val="0000FF"/>
          <w:sz w:val="18"/>
          <w:lang w:val="en-US" w:eastAsia="zh-CN"/>
        </w:rPr>
        <w:instrText xml:space="preserve"> NOTEREF _Ref593002473 \h </w:instrText>
      </w:r>
      <w:r>
        <w:rPr>
          <w:rFonts w:hint="eastAsia" w:eastAsia="宋体"/>
          <w:color w:val="0000FF"/>
          <w:sz w:val="18"/>
          <w:lang w:val="en-US" w:eastAsia="zh-CN"/>
        </w:rPr>
        <w:fldChar w:fldCharType="separate"/>
      </w:r>
      <w:r>
        <w:rPr>
          <w:rFonts w:hint="eastAsia" w:eastAsia="宋体"/>
          <w:color w:val="0000FF"/>
          <w:sz w:val="18"/>
          <w:lang w:val="en-US" w:eastAsia="zh-CN"/>
        </w:rPr>
        <w:t>3</w:t>
      </w:r>
      <w:r>
        <w:rPr>
          <w:rFonts w:hint="eastAsia" w:eastAsia="宋体"/>
          <w:color w:val="0000FF"/>
          <w:sz w:val="18"/>
          <w:lang w:val="en-US" w:eastAsia="zh-CN"/>
        </w:rPr>
        <w:fldChar w:fldCharType="end"/>
      </w:r>
      <w:r>
        <w:rPr>
          <w:rFonts w:hint="eastAsia" w:eastAsia="宋体"/>
          <w:color w:val="0000FF"/>
          <w:sz w:val="18"/>
          <w:lang w:val="en-US" w:eastAsia="zh-CN"/>
        </w:rPr>
        <w:t>];</w:t>
      </w:r>
    </w:p>
    <w:p>
      <w:pPr>
        <w:ind w:firstLine="420"/>
        <w:rPr>
          <w:rFonts w:hint="eastAsia"/>
          <w:color w:val="0000FF"/>
          <w:lang w:val="en-US" w:eastAsia="zh-CN"/>
        </w:rPr>
      </w:pPr>
      <w:r>
        <w:rPr>
          <w:rFonts w:hint="eastAsia"/>
          <w:color w:val="0000FF"/>
          <w:highlight w:val="none"/>
          <w:lang w:val="en-US" w:eastAsia="zh-CN"/>
        </w:rPr>
        <w:t>博罗米尼</w:t>
      </w:r>
      <w:r>
        <w:rPr>
          <w:rFonts w:hint="eastAsia"/>
          <w:color w:val="0000FF"/>
          <w:highlight w:val="none"/>
          <w:lang w:val="en-US" w:eastAsia="zh-CN"/>
        </w:rPr>
        <w:t>独有的</w:t>
      </w:r>
      <w:r>
        <w:rPr>
          <w:rFonts w:hint="eastAsia"/>
          <w:color w:val="0000FF"/>
          <w:highlight w:val="none"/>
          <w:lang w:val="en-US" w:eastAsia="zh-CN"/>
        </w:rPr>
        <w:t>以严谨几何逻辑与空间组织</w:t>
      </w:r>
      <w:r>
        <w:rPr>
          <w:rFonts w:hint="eastAsia"/>
          <w:color w:val="0000FF"/>
          <w:highlight w:val="none"/>
          <w:lang w:val="en-US" w:eastAsia="zh-CN"/>
        </w:rPr>
        <w:t>进行设计的方法</w:t>
      </w:r>
      <w:r>
        <w:rPr>
          <w:rFonts w:hint="eastAsia"/>
          <w:color w:val="0000FF"/>
          <w:highlight w:val="none"/>
          <w:lang w:val="en-US" w:eastAsia="zh-CN"/>
        </w:rPr>
        <w:t>，未能在巴洛克时期获得应有的认可，其作品中传承并革新古典几何传统的深层价值</w:t>
      </w:r>
      <w:r>
        <w:rPr>
          <w:rFonts w:hint="eastAsia"/>
          <w:color w:val="0000FF"/>
          <w:highlight w:val="none"/>
          <w:lang w:val="en-US" w:eastAsia="zh-CN"/>
        </w:rPr>
        <w:t>，</w:t>
      </w:r>
      <w:r>
        <w:rPr>
          <w:rFonts w:hint="eastAsia"/>
          <w:color w:val="0000FF"/>
          <w:highlight w:val="none"/>
          <w:lang w:val="en-US" w:eastAsia="zh-CN"/>
        </w:rPr>
        <w:t>被掩盖于浮夸与感官刺激主导的时代氛围中。</w:t>
      </w:r>
      <w:r>
        <w:rPr>
          <w:rFonts w:hint="eastAsia"/>
          <w:color w:val="0000FF"/>
          <w:lang w:val="en-US" w:eastAsia="zh-CN"/>
        </w:rPr>
        <w:t>当时，以贝尼尼与科托纳为代表的主流风格，依赖奢华装饰通过视觉效果和感官冲击赢得广泛认同。贝尼尼在圣安德烈奎里纳尔堂等项目中，通过镀金细节、大理石材质和叙事性的布局，将装饰作为独立的视觉符号取悦观者，却未能超越表层形式，将建筑转化为具有内在逻 辑与整体秩序的系统化空间（图14，</w:t>
      </w:r>
      <w:r>
        <w:rPr>
          <w:rFonts w:hint="default"/>
          <w:color w:val="0000FF"/>
          <w:lang w:val="en-US" w:eastAsia="zh-CN"/>
        </w:rPr>
        <w:t>e</w:t>
      </w:r>
      <w:r>
        <w:rPr>
          <w:rFonts w:hint="eastAsia"/>
          <w:color w:val="0000FF"/>
          <w:lang w:val="en-US" w:eastAsia="zh-CN"/>
        </w:rPr>
        <w:t>）；科托纳在巴贝里尼宫天顶画《神圣普罗维登斯的荣耀》中，通过透视艺术与浓烈色彩的运用，营造出突破天花板边界，将空间延展至“天堂”之中的幻象。然而，这种视觉延伸更多依赖二维平面的表现，虽在感官上震撼人心，却未能有效融入建筑整体结构逻辑，难以超越表象的华丽而达成整体的逻辑统一（图15）。相比之下，博罗米尼的</w:t>
      </w:r>
      <w:r>
        <w:rPr>
          <w:rFonts w:hint="eastAsia"/>
          <w:color w:val="0000FF"/>
        </w:rPr>
        <w:t>设计不仅超越了</w:t>
      </w:r>
      <w:r>
        <w:rPr>
          <w:rFonts w:hint="eastAsia"/>
          <w:color w:val="0000FF"/>
          <w:lang w:val="en-US" w:eastAsia="zh-CN"/>
        </w:rPr>
        <w:t>巴洛克时期</w:t>
      </w:r>
      <w:r>
        <w:rPr>
          <w:rFonts w:hint="eastAsia"/>
          <w:color w:val="0000FF"/>
        </w:rPr>
        <w:t>对于视觉感官的依赖，更通过几何形态的动态延展与光影的精准控制，将建筑空间转化为一个哲学性与逻辑性兼备的整体</w:t>
      </w:r>
      <w:r>
        <w:rPr>
          <w:rFonts w:hint="eastAsia"/>
          <w:color w:val="0000FF"/>
          <w:lang w:eastAsia="zh-CN"/>
        </w:rPr>
        <w:t>，</w:t>
      </w:r>
      <w:r>
        <w:rPr>
          <w:rFonts w:hint="eastAsia"/>
          <w:color w:val="0000FF"/>
        </w:rPr>
        <w:t>展示了几何控制在引导空间秩序与深化精神内涵中的潜力</w:t>
      </w:r>
      <w:r>
        <w:rPr>
          <w:rFonts w:hint="eastAsia"/>
          <w:color w:val="0000FF"/>
          <w:lang w:eastAsia="zh-CN"/>
        </w:rPr>
        <w:t>。</w:t>
      </w:r>
    </w:p>
    <w:p>
      <w:pPr>
        <w:ind w:firstLine="0" w:firstLineChars="0"/>
      </w:pPr>
      <w:r>
        <w:drawing>
          <wp:inline distT="0" distB="0" distL="114300" distR="114300">
            <wp:extent cx="5251450" cy="2450465"/>
            <wp:effectExtent l="0" t="0" r="6350" b="13335"/>
            <wp:docPr id="2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8"/>
                    <pic:cNvPicPr>
                      <a:picLocks noChangeAspect="1"/>
                    </pic:cNvPicPr>
                  </pic:nvPicPr>
                  <pic:blipFill>
                    <a:blip r:embed="rId20"/>
                    <a:stretch>
                      <a:fillRect/>
                    </a:stretch>
                  </pic:blipFill>
                  <pic:spPr>
                    <a:xfrm>
                      <a:off x="0" y="0"/>
                      <a:ext cx="5251450" cy="2450465"/>
                    </a:xfrm>
                    <a:prstGeom prst="rect">
                      <a:avLst/>
                    </a:prstGeom>
                    <a:noFill/>
                    <a:ln>
                      <a:noFill/>
                    </a:ln>
                  </pic:spPr>
                </pic:pic>
              </a:graphicData>
            </a:graphic>
          </wp:inline>
        </w:drawing>
      </w:r>
    </w:p>
    <w:p>
      <w:pPr>
        <w:spacing w:line="240" w:lineRule="auto"/>
        <w:ind w:firstLine="0" w:firstLineChars="0"/>
        <w:rPr>
          <w:rFonts w:hint="eastAsia"/>
          <w:sz w:val="18"/>
          <w:lang w:val="en-US" w:eastAsia="zh-CN"/>
        </w:rPr>
      </w:pPr>
      <w:r>
        <w:rPr>
          <w:rFonts w:hint="eastAsia"/>
          <w:sz w:val="18"/>
        </w:rPr>
        <w:t>图</w:t>
      </w:r>
      <w:r>
        <w:rPr>
          <w:rFonts w:hint="eastAsia"/>
          <w:sz w:val="18"/>
          <w:lang w:val="en-US" w:eastAsia="zh-CN"/>
        </w:rPr>
        <w:t>15</w:t>
      </w:r>
      <w:r>
        <w:rPr>
          <w:rFonts w:hint="eastAsia"/>
          <w:sz w:val="18"/>
          <w:lang w:eastAsia="zh-CN"/>
        </w:rPr>
        <w:t>天顶空间对比</w:t>
      </w:r>
      <w:r>
        <w:rPr>
          <w:rFonts w:hint="eastAsia" w:eastAsia="宋体"/>
          <w:sz w:val="18"/>
          <w:lang w:eastAsia="zh-CN"/>
        </w:rPr>
        <w:t>，</w:t>
      </w:r>
      <w:r>
        <w:rPr>
          <w:rFonts w:hint="eastAsia" w:eastAsia="宋体"/>
          <w:sz w:val="18"/>
          <w:lang w:val="en-US" w:eastAsia="zh-CN"/>
        </w:rPr>
        <w:t>来源：</w:t>
      </w:r>
      <w:r>
        <w:rPr>
          <w:rFonts w:hint="eastAsia"/>
          <w:sz w:val="18"/>
          <w:lang w:val="en-US" w:eastAsia="zh-CN"/>
        </w:rPr>
        <w:t>a.Wikimedia Commons</w:t>
      </w:r>
      <w:r>
        <w:rPr>
          <w:rFonts w:hint="eastAsia" w:eastAsia="宋体"/>
          <w:sz w:val="18"/>
          <w:lang w:val="en-US" w:eastAsia="zh-CN"/>
        </w:rPr>
        <w:t>；</w:t>
      </w:r>
      <w:r>
        <w:rPr>
          <w:rFonts w:hint="eastAsia"/>
          <w:sz w:val="18"/>
          <w:lang w:val="en-US" w:eastAsia="zh-CN"/>
        </w:rPr>
        <w:t>b.Fr Lawrence Lew, O.P.上传 www.flickr.com网站; c.https://www.artesvelata.it</w:t>
      </w:r>
    </w:p>
    <w:p>
      <w:pPr>
        <w:ind w:firstLine="420"/>
        <w:rPr>
          <w:color w:val="0000FF"/>
        </w:rPr>
      </w:pPr>
      <w:r>
        <w:rPr>
          <w:rFonts w:hint="eastAsia"/>
          <w:color w:val="0000FF"/>
        </w:rPr>
        <w:t>尽管博罗米尼因性格内敛、不善交际，在其生前未能得到与其才华相匹配的赞誉，其存世作品亦有限，但他的建筑思想和方法论却具有跨越时代的生命力。他的设计不仅为后世建筑师探索建筑形体与空间关系提供了重要的范本，更在现代语境中</w:t>
      </w:r>
      <w:r>
        <w:rPr>
          <w:rFonts w:hint="eastAsia"/>
          <w:color w:val="0000FF"/>
          <w:lang w:val="en-US" w:eastAsia="zh-CN"/>
        </w:rPr>
        <w:t>唤起了新的可能</w:t>
      </w:r>
      <w:r>
        <w:rPr>
          <w:rFonts w:hint="eastAsia"/>
          <w:color w:val="0000FF"/>
          <w:lang w:eastAsia="zh-CN"/>
        </w:rPr>
        <w:t>（</w:t>
      </w:r>
      <w:r>
        <w:rPr>
          <w:rFonts w:hint="eastAsia"/>
          <w:color w:val="0000FF"/>
          <w:lang w:val="en-US" w:eastAsia="zh-CN"/>
        </w:rPr>
        <w:t>图16</w:t>
      </w:r>
      <w:r>
        <w:rPr>
          <w:rFonts w:hint="eastAsia"/>
          <w:color w:val="0000FF"/>
          <w:lang w:eastAsia="zh-CN"/>
        </w:rPr>
        <w:t>）。</w:t>
      </w:r>
    </w:p>
    <w:p>
      <w:pPr>
        <w:pStyle w:val="8"/>
      </w:pPr>
      <w:r>
        <w:drawing>
          <wp:inline distT="0" distB="0" distL="114300" distR="114300">
            <wp:extent cx="5319395" cy="2889885"/>
            <wp:effectExtent l="0" t="0" r="14605" b="5715"/>
            <wp:docPr id="2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1"/>
                    <pic:cNvPicPr>
                      <a:picLocks noChangeAspect="1"/>
                    </pic:cNvPicPr>
                  </pic:nvPicPr>
                  <pic:blipFill>
                    <a:blip r:embed="rId21"/>
                    <a:stretch>
                      <a:fillRect/>
                    </a:stretch>
                  </pic:blipFill>
                  <pic:spPr>
                    <a:xfrm>
                      <a:off x="0" y="0"/>
                      <a:ext cx="5319395" cy="2889885"/>
                    </a:xfrm>
                    <a:prstGeom prst="rect">
                      <a:avLst/>
                    </a:prstGeom>
                    <a:noFill/>
                    <a:ln>
                      <a:noFill/>
                    </a:ln>
                  </pic:spPr>
                </pic:pic>
              </a:graphicData>
            </a:graphic>
          </wp:inline>
        </w:drawing>
      </w:r>
    </w:p>
    <w:p>
      <w:pPr>
        <w:pStyle w:val="8"/>
      </w:pPr>
      <w:bookmarkStart w:id="22" w:name="_Ref1068817569"/>
      <w:r>
        <w:t xml:space="preserve">图 </w:t>
      </w:r>
      <w:bookmarkEnd w:id="22"/>
      <w:r>
        <w:rPr>
          <w:rFonts w:hint="eastAsia"/>
          <w:lang w:val="en-US" w:eastAsia="zh-CN"/>
        </w:rPr>
        <w:t>16</w:t>
      </w:r>
      <w:r>
        <w:rPr>
          <w:rFonts w:hint="eastAsia"/>
        </w:rPr>
        <w:t>巴洛克中期至当代基于博罗米尼建筑的启发理论或实践，来源：作者自绘</w:t>
      </w:r>
    </w:p>
    <w:p>
      <w:pPr>
        <w:pStyle w:val="8"/>
      </w:pPr>
      <w:r>
        <w:t>a.瓜里尼建筑方案中的外立面起伏的墙面设计</w:t>
      </w:r>
      <w:r>
        <w:rPr>
          <w:rFonts w:hint="eastAsia"/>
        </w:rPr>
        <w:t>，分析图作者自绘；</w:t>
      </w:r>
      <w:r>
        <w:rPr>
          <w:rFonts w:hint="eastAsia"/>
          <w:lang w:val="it-IT"/>
        </w:rPr>
        <w:t>a.c.d.</w:t>
      </w:r>
      <w:r>
        <w:rPr>
          <w:rFonts w:hint="eastAsia"/>
        </w:rPr>
        <w:t>文献[</w:t>
      </w:r>
      <w:r>
        <w:rPr>
          <w:rFonts w:hint="eastAsia"/>
        </w:rPr>
        <w:endnoteReference w:id="23"/>
      </w:r>
      <w:r>
        <w:rPr>
          <w:rFonts w:hint="eastAsia"/>
        </w:rPr>
        <w:t>]</w:t>
      </w:r>
      <w:r>
        <w:rPr>
          <w:rFonts w:hint="eastAsia"/>
          <w:lang w:val="it-IT"/>
        </w:rPr>
        <w:t>；b.e.</w:t>
      </w:r>
      <w:r>
        <w:rPr>
          <w:rFonts w:hint="eastAsia"/>
        </w:rPr>
        <w:t>文献[</w:t>
      </w:r>
      <w:r>
        <w:rPr>
          <w:rFonts w:hint="eastAsia"/>
        </w:rPr>
        <w:endnoteReference w:id="24"/>
      </w:r>
      <w:r>
        <w:rPr>
          <w:rFonts w:hint="eastAsia"/>
        </w:rPr>
        <w:t>]；</w:t>
      </w:r>
    </w:p>
    <w:p>
      <w:pPr>
        <w:pStyle w:val="8"/>
      </w:pPr>
      <w:r>
        <w:t>b.皮拉内西：罗马遗迹考察，碎片化遗址，来源：Le Antichita romane, Opere di Giambattista Piranesi，digital.tcl.sc.edu</w:t>
      </w:r>
    </w:p>
    <w:p>
      <w:pPr>
        <w:pStyle w:val="8"/>
      </w:pPr>
      <w:r>
        <w:rPr>
          <w:rFonts w:hint="eastAsia"/>
        </w:rPr>
        <w:t>c.萨勒诺家族教堂平面分析，来源：</w:t>
      </w:r>
      <w:r>
        <w:t>drawingmatter.org</w:t>
      </w:r>
    </w:p>
    <w:p>
      <w:pPr>
        <w:pStyle w:val="8"/>
      </w:pPr>
      <w:r>
        <w:rPr>
          <w:rFonts w:hint="eastAsia"/>
        </w:rPr>
        <w:t>d</w:t>
      </w:r>
      <w:r>
        <w:t>.艾森曼哥伦布会议中心中的网格变形，来源：(</w:t>
      </w:r>
      <w:r>
        <w:rPr>
          <w:rFonts w:hint="eastAsia"/>
        </w:rPr>
        <w:t>左</w:t>
      </w:r>
      <w:r>
        <w:t>)https://www.cca.qc.ca；(</w:t>
      </w:r>
      <w:r>
        <w:rPr>
          <w:rFonts w:hint="eastAsia"/>
        </w:rPr>
        <w:t>右</w:t>
      </w:r>
      <w:r>
        <w:t>)https://freight.cargo.site/t/original</w:t>
      </w:r>
    </w:p>
    <w:p>
      <w:pPr>
        <w:pStyle w:val="8"/>
      </w:pPr>
      <w:r>
        <w:t xml:space="preserve">e.Baroque </w:t>
      </w:r>
      <w:r>
        <w:rPr>
          <w:rFonts w:hint="eastAsia"/>
        </w:rPr>
        <w:t>M</w:t>
      </w:r>
      <w:r>
        <w:t>achinations</w:t>
      </w:r>
      <w:r>
        <w:rPr>
          <w:rFonts w:hint="eastAsia"/>
        </w:rPr>
        <w:t>巴洛克机制2</w:t>
      </w:r>
      <w:r>
        <w:t>012-2017</w:t>
      </w:r>
      <w:r>
        <w:rPr>
          <w:rFonts w:hint="eastAsia"/>
        </w:rPr>
        <w:t>展览，三个教堂的分析</w:t>
      </w:r>
      <w:r>
        <w:t>，</w:t>
      </w:r>
      <w:r>
        <w:rPr>
          <w:rFonts w:hint="eastAsia"/>
        </w:rPr>
        <w:t>张昕楠摄</w:t>
      </w:r>
    </w:p>
    <w:p>
      <w:pPr>
        <w:ind w:firstLine="420"/>
        <w:rPr>
          <w:lang w:eastAsia="zh-Hans"/>
        </w:rPr>
      </w:pPr>
      <w:r>
        <w:rPr>
          <w:rFonts w:hint="eastAsia"/>
        </w:rPr>
        <w:t>对于博罗米尼作品及理论的研究，从早期的形式及符号研究</w:t>
      </w:r>
      <w:r>
        <w:rPr>
          <w:rFonts w:hint="eastAsia"/>
          <w:lang w:eastAsia="zh-Hans"/>
        </w:rPr>
        <w:t>逐步深入</w:t>
      </w:r>
      <w:r>
        <w:rPr>
          <w:rFonts w:hint="eastAsia"/>
        </w:rPr>
        <w:t>，</w:t>
      </w:r>
      <w:r>
        <w:rPr>
          <w:rFonts w:hint="eastAsia"/>
          <w:lang w:eastAsia="zh-Hans"/>
        </w:rPr>
        <w:t>瓜里尼</w:t>
      </w:r>
      <w:r>
        <w:rPr>
          <w:rFonts w:hint="eastAsia"/>
        </w:rPr>
        <w:t>（Guarino Guarini, 1624-83）</w:t>
      </w:r>
      <w:r>
        <w:rPr>
          <w:rFonts w:hint="eastAsia"/>
          <w:lang w:eastAsia="zh-Hans"/>
        </w:rPr>
        <w:t>率先通过空间实体表达</w:t>
      </w:r>
      <w:r>
        <w:rPr>
          <w:rFonts w:hint="eastAsia"/>
        </w:rPr>
        <w:t>巴洛克建筑对</w:t>
      </w:r>
      <w:r>
        <w:rPr>
          <w:rFonts w:hint="eastAsia"/>
          <w:lang w:eastAsia="zh-Hans"/>
        </w:rPr>
        <w:t>交融的动态体系和多中心几何结构</w:t>
      </w:r>
      <w:r>
        <w:rPr>
          <w:rFonts w:hint="eastAsia"/>
        </w:rPr>
        <w:t>的追求</w:t>
      </w:r>
      <w:r>
        <w:rPr>
          <w:rStyle w:val="21"/>
          <w:rFonts w:hint="eastAsia"/>
        </w:rPr>
        <w:t>[</w:t>
      </w:r>
      <w:r>
        <w:rPr>
          <w:rStyle w:val="21"/>
          <w:rFonts w:hint="eastAsia"/>
        </w:rPr>
        <w:endnoteReference w:id="25"/>
      </w:r>
      <w:r>
        <w:rPr>
          <w:rStyle w:val="21"/>
          <w:rFonts w:hint="eastAsia"/>
        </w:rPr>
        <w:t>]</w:t>
      </w:r>
      <w:r>
        <w:rPr>
          <w:rFonts w:hint="eastAsia"/>
        </w:rPr>
        <w:t>，使建筑空间在不同区域的密度和方向变化中保持连续性</w:t>
      </w:r>
      <w:r>
        <w:rPr>
          <w:rFonts w:hint="eastAsia"/>
          <w:lang w:eastAsia="zh-Hans"/>
        </w:rPr>
        <w:t>；皮拉内西（Giovanni Battista Piranesi，1720-78）则在雕版画中以多视点透视</w:t>
      </w:r>
      <w:r>
        <w:rPr>
          <w:rFonts w:hint="eastAsia"/>
        </w:rPr>
        <w:t>、扭曲比例和</w:t>
      </w:r>
      <w:r>
        <w:rPr>
          <w:rFonts w:hint="eastAsia"/>
          <w:lang w:eastAsia="zh-Hans"/>
        </w:rPr>
        <w:t>夸张</w:t>
      </w:r>
      <w:r>
        <w:rPr>
          <w:rFonts w:hint="eastAsia"/>
        </w:rPr>
        <w:t>细节表现</w:t>
      </w:r>
      <w:r>
        <w:rPr>
          <w:rFonts w:hint="eastAsia"/>
          <w:lang w:eastAsia="zh-Hans"/>
        </w:rPr>
        <w:t>，展现出一种介于真实与幻想之间的古典视觉</w:t>
      </w:r>
      <w:r>
        <w:rPr>
          <w:rStyle w:val="21"/>
          <w:rFonts w:hint="eastAsia"/>
        </w:rPr>
        <w:t>[</w:t>
      </w:r>
      <w:r>
        <w:rPr>
          <w:rStyle w:val="21"/>
          <w:rFonts w:hint="eastAsia"/>
        </w:rPr>
        <w:endnoteReference w:id="26"/>
      </w:r>
      <w:r>
        <w:rPr>
          <w:rStyle w:val="21"/>
          <w:rFonts w:hint="eastAsia"/>
        </w:rPr>
        <w:t>]</w:t>
      </w:r>
      <w:r>
        <w:rPr>
          <w:rFonts w:hint="eastAsia"/>
          <w:lang w:eastAsia="zh-Hans"/>
        </w:rPr>
        <w:t>，将博罗米尼的创新精神传递给后世。</w:t>
      </w:r>
    </w:p>
    <w:p>
      <w:pPr>
        <w:ind w:firstLine="420"/>
        <w:rPr>
          <w:lang w:eastAsia="zh-Hans"/>
        </w:rPr>
      </w:pPr>
      <w:r>
        <w:rPr>
          <w:rFonts w:hint="eastAsia"/>
        </w:rPr>
        <w:t>尽管十九世纪古典主义和理性主义的回归对巴洛克风格进行了批判，二十世纪却迎来了巴洛克形式象征和视觉张力的回潮。</w:t>
      </w:r>
      <w:r>
        <w:rPr>
          <w:rFonts w:hint="eastAsia"/>
          <w:lang w:eastAsia="zh-Hans"/>
        </w:rPr>
        <w:t>保罗·波托盖希（Paolo Portoghesi，1931-2023）通过“空间场（Field）理论”进一步发展</w:t>
      </w:r>
      <w:r>
        <w:rPr>
          <w:rFonts w:hint="eastAsia"/>
        </w:rPr>
        <w:t>了</w:t>
      </w:r>
      <w:r>
        <w:rPr>
          <w:rFonts w:hint="eastAsia"/>
          <w:lang w:eastAsia="zh-Hans"/>
        </w:rPr>
        <w:t>博罗米尼的几何空间</w:t>
      </w:r>
      <w:r>
        <w:rPr>
          <w:rFonts w:hint="eastAsia"/>
        </w:rPr>
        <w:t>操作和连续塑形理念。他借助几何中心和“场”分析网格来</w:t>
      </w:r>
      <w:r>
        <w:rPr>
          <w:rFonts w:hint="eastAsia"/>
          <w:lang w:eastAsia="zh-Hans"/>
        </w:rPr>
        <w:t>揭示</w:t>
      </w:r>
      <w:r>
        <w:rPr>
          <w:rFonts w:hint="eastAsia"/>
        </w:rPr>
        <w:t>博罗米尼在</w:t>
      </w:r>
      <w:r>
        <w:rPr>
          <w:rFonts w:hint="eastAsia"/>
          <w:lang w:eastAsia="zh-Hans"/>
        </w:rPr>
        <w:t>圣卡洛教堂</w:t>
      </w:r>
      <w:r>
        <w:rPr>
          <w:rFonts w:hint="eastAsia"/>
        </w:rPr>
        <w:t>中所体现</w:t>
      </w:r>
      <w:r>
        <w:rPr>
          <w:rFonts w:hint="eastAsia"/>
          <w:lang w:eastAsia="zh-Hans"/>
        </w:rPr>
        <w:t>的几何逻辑</w:t>
      </w:r>
      <w:r>
        <w:rPr>
          <w:vertAlign w:val="superscript"/>
        </w:rPr>
        <w:t>[</w:t>
      </w:r>
      <w:r>
        <w:rPr>
          <w:rStyle w:val="21"/>
        </w:rPr>
        <w:endnoteReference w:id="27"/>
      </w:r>
      <w:r>
        <w:rPr>
          <w:vertAlign w:val="superscript"/>
        </w:rPr>
        <w:t>]</w:t>
      </w:r>
      <w:r>
        <w:rPr>
          <w:rStyle w:val="21"/>
          <w:rFonts w:hint="eastAsia"/>
        </w:rPr>
        <w:t>[</w:t>
      </w:r>
      <w:r>
        <w:rPr>
          <w:rStyle w:val="21"/>
          <w:rFonts w:hint="eastAsia"/>
        </w:rPr>
        <w:endnoteReference w:id="28"/>
      </w:r>
      <w:r>
        <w:rPr>
          <w:rStyle w:val="21"/>
          <w:rFonts w:hint="eastAsia"/>
        </w:rPr>
        <w:t>]</w:t>
      </w:r>
      <w:r>
        <w:rPr>
          <w:rFonts w:hint="eastAsia"/>
        </w:rPr>
        <w:t>，并</w:t>
      </w:r>
      <w:r>
        <w:rPr>
          <w:rFonts w:hint="eastAsia"/>
          <w:lang w:eastAsia="zh-Hans"/>
        </w:rPr>
        <w:t>在自己的作品中尝试将</w:t>
      </w:r>
      <w:r>
        <w:rPr>
          <w:rFonts w:hint="eastAsia"/>
        </w:rPr>
        <w:t>这一</w:t>
      </w:r>
      <w:r>
        <w:rPr>
          <w:rFonts w:hint="eastAsia"/>
          <w:lang w:eastAsia="zh-Hans"/>
        </w:rPr>
        <w:t>空间思想具象化。萨勒诺家族教堂</w:t>
      </w:r>
      <w:r>
        <w:rPr>
          <w:rFonts w:hint="eastAsia"/>
        </w:rPr>
        <w:t>（Chiesa Sacra Famiglia Salerno）的</w:t>
      </w:r>
      <w:r>
        <w:rPr>
          <w:rFonts w:hint="eastAsia"/>
          <w:lang w:eastAsia="zh-Hans"/>
        </w:rPr>
        <w:t>设计成熟地诠释了波托盖希</w:t>
      </w:r>
      <w:r>
        <w:rPr>
          <w:rFonts w:hint="eastAsia"/>
        </w:rPr>
        <w:t>的</w:t>
      </w:r>
      <w:r>
        <w:rPr>
          <w:rFonts w:hint="eastAsia"/>
          <w:lang w:eastAsia="zh-Hans"/>
        </w:rPr>
        <w:t>理论，</w:t>
      </w:r>
      <w:r>
        <w:rPr>
          <w:rFonts w:hint="eastAsia"/>
        </w:rPr>
        <w:t>通过</w:t>
      </w:r>
      <w:r>
        <w:rPr>
          <w:rFonts w:hint="eastAsia"/>
          <w:lang w:eastAsia="zh-Hans"/>
        </w:rPr>
        <w:t>多中心之间的相互作用和复杂动态</w:t>
      </w:r>
      <w:r>
        <w:rPr>
          <w:rFonts w:hint="eastAsia"/>
        </w:rPr>
        <w:t>塑造出一种自然有机的空间形式，使</w:t>
      </w:r>
      <w:r>
        <w:rPr>
          <w:rFonts w:hint="eastAsia"/>
          <w:lang w:eastAsia="zh-Hans"/>
        </w:rPr>
        <w:t>建筑空间具备运动感</w:t>
      </w:r>
      <w:r>
        <w:rPr>
          <w:rFonts w:hint="eastAsia"/>
        </w:rPr>
        <w:t>的同时</w:t>
      </w:r>
      <w:r>
        <w:rPr>
          <w:rFonts w:hint="eastAsia"/>
          <w:lang w:eastAsia="zh-Hans"/>
        </w:rPr>
        <w:t>延续了巴洛克建筑系统的开放性。</w:t>
      </w:r>
    </w:p>
    <w:p>
      <w:pPr>
        <w:ind w:firstLine="420"/>
      </w:pPr>
      <w:r>
        <w:rPr>
          <w:rFonts w:hint="eastAsia"/>
        </w:rPr>
        <w:t>彼得·艾森曼（Peter Eisenman，1934-）也在几何语言与动态空间方面从博罗米尼作品中汲取灵感，将博罗米尼的“去中心化”概念与现代解构主义相结合。他通过网格变形与去中心化的几何操作，在现代建筑中重构了博罗米尼的几何自律与逻辑性，并以模糊柱体与墙体边界的方式，创造出流动且不确定的空间体验</w:t>
      </w:r>
      <w:r>
        <w:rPr>
          <w:rStyle w:val="21"/>
          <w:rFonts w:hint="eastAsia"/>
        </w:rPr>
        <w:t>[</w:t>
      </w:r>
      <w:r>
        <w:rPr>
          <w:rStyle w:val="21"/>
          <w:rFonts w:hint="eastAsia"/>
        </w:rPr>
        <w:endnoteReference w:id="29"/>
      </w:r>
      <w:r>
        <w:rPr>
          <w:rStyle w:val="21"/>
          <w:rFonts w:hint="eastAsia"/>
        </w:rPr>
        <w:t>]</w:t>
      </w:r>
      <w:r>
        <w:rPr>
          <w:rStyle w:val="21"/>
          <w:rFonts w:hint="eastAsia"/>
        </w:rPr>
        <w:t>[</w:t>
      </w:r>
      <w:r>
        <w:rPr>
          <w:rStyle w:val="21"/>
          <w:rFonts w:hint="eastAsia"/>
        </w:rPr>
        <w:endnoteReference w:id="30"/>
      </w:r>
      <w:r>
        <w:rPr>
          <w:rStyle w:val="21"/>
          <w:rFonts w:hint="eastAsia"/>
        </w:rPr>
        <w:t>]</w:t>
      </w:r>
      <w:r>
        <w:rPr>
          <w:rFonts w:hint="eastAsia"/>
        </w:rPr>
        <w:t>。在哥伦布会议中心（Greater Columbus Convention Center）中，艾森曼通过对几何和历史的批判性再诠释，以动态的网格和结构对话，模糊了承重与围护的边界，为建筑赋予了“动态”和“运动”的特质，在某种程度上回应了对博罗米尼的“去中心化”构图与多层次的空间组织的关注。</w:t>
      </w:r>
    </w:p>
    <w:p>
      <w:pPr>
        <w:ind w:firstLine="420"/>
      </w:pPr>
      <w:r>
        <w:rPr>
          <w:rFonts w:hint="eastAsia"/>
        </w:rPr>
        <w:t>近年来，随着参数化设计工具的应用，巴洛克建筑的视觉复杂性得以进一步拓展。Cameron Wu</w:t>
      </w:r>
      <w:r>
        <w:rPr>
          <w:rStyle w:val="25"/>
          <w:rFonts w:hint="eastAsia"/>
        </w:rPr>
        <w:footnoteReference w:id="5"/>
      </w:r>
      <w:r>
        <w:rPr>
          <w:rFonts w:hint="eastAsia"/>
        </w:rPr>
        <w:t>通过参数化工具系统化地呈现了博罗米尼设计的轴向布局、场域构建和空间集中的倾向，揭示出其建筑空间在对称性和一致性基础上的无限变体，体现了“在无尽的可能中产生特异性”的设计哲学</w:t>
      </w:r>
      <w:r>
        <w:rPr>
          <w:rStyle w:val="25"/>
          <w:rFonts w:hint="eastAsia"/>
        </w:rPr>
        <w:footnoteReference w:id="6"/>
      </w:r>
      <w:r>
        <w:rPr>
          <w:rFonts w:hint="eastAsia"/>
        </w:rPr>
        <w:t>。借助现代参数化技术，Wu对博罗米尼作品中的几何特征进行了重新诠释，揭示了其设计中曲线与直线、弧度与直线交替的几何互动关系，并探讨了在不同构件中平衡这两种元素的策略，以实现空间的连续性。这一研究进一步彰显了博罗米尼几何逻辑在当代设计中的启示意义和学术价值，使其几何理念在技术支持下展现出更加多样化的形式与空间可能性。</w:t>
      </w:r>
    </w:p>
    <w:p>
      <w:pPr>
        <w:pStyle w:val="3"/>
        <w:tabs>
          <w:tab w:val="left" w:pos="0"/>
        </w:tabs>
        <w:rPr>
          <w:rFonts w:ascii="Songti SC Bold" w:hAnsi="Songti SC Bold" w:eastAsia="Songti SC Bold" w:cs="Songti SC Bold"/>
          <w:color w:val="0000FF"/>
        </w:rPr>
      </w:pPr>
      <w:r>
        <w:rPr>
          <w:rFonts w:hint="eastAsia" w:ascii="Songti SC Bold" w:hAnsi="Songti SC Bold" w:eastAsia="Songti SC Bold" w:cs="Songti SC Bold"/>
          <w:color w:val="0000FF"/>
        </w:rPr>
        <w:t>结语</w:t>
      </w:r>
    </w:p>
    <w:p>
      <w:pPr>
        <w:ind w:firstLine="420"/>
        <w:rPr>
          <w:rFonts w:hint="eastAsia"/>
          <w:color w:val="0000FF"/>
        </w:rPr>
      </w:pPr>
      <w:r>
        <w:rPr>
          <w:rFonts w:hint="eastAsia"/>
          <w:color w:val="0000FF"/>
        </w:rPr>
        <w:t>博罗米尼作品的背后都潜藏着一个“起推动作用的意图”</w:t>
      </w:r>
      <w:r>
        <w:rPr>
          <w:rFonts w:hint="eastAsia"/>
          <w:color w:val="0000FF"/>
          <w:lang w:eastAsia="zh-CN"/>
        </w:rPr>
        <w:t>，</w:t>
      </w:r>
      <w:r>
        <w:rPr>
          <w:rFonts w:hint="eastAsia"/>
          <w:color w:val="0000FF"/>
        </w:rPr>
        <w:t>这一</w:t>
      </w:r>
      <w:r>
        <w:rPr>
          <w:rFonts w:hint="eastAsia"/>
          <w:color w:val="0000FF"/>
          <w:lang w:eastAsia="zh-CN"/>
        </w:rPr>
        <w:t>“</w:t>
      </w:r>
      <w:r>
        <w:rPr>
          <w:rFonts w:hint="eastAsia"/>
          <w:color w:val="0000FF"/>
        </w:rPr>
        <w:t>意图</w:t>
      </w:r>
      <w:r>
        <w:rPr>
          <w:rFonts w:hint="eastAsia"/>
          <w:color w:val="0000FF"/>
          <w:lang w:eastAsia="zh-CN"/>
        </w:rPr>
        <w:t>”</w:t>
      </w:r>
      <w:r>
        <w:rPr>
          <w:rFonts w:hint="eastAsia"/>
          <w:color w:val="0000FF"/>
        </w:rPr>
        <w:t>通过外部曲线与城市的互动吸引人进入，并在内部的几何空间组合中营造出包裹感强烈的多维空间体验。几何形式的层层延展，将光线、装饰等设计元素有机地具象化，表达出丰富的空间内涵。</w:t>
      </w:r>
      <w:r>
        <w:rPr>
          <w:rFonts w:hint="eastAsia"/>
          <w:color w:val="0000FF"/>
          <w:lang w:val="en-US" w:eastAsia="zh-CN"/>
        </w:rPr>
        <w:t>回</w:t>
      </w:r>
      <w:r>
        <w:rPr>
          <w:rFonts w:hint="eastAsia"/>
          <w:color w:val="0000FF"/>
        </w:rPr>
        <w:t>溯博罗米尼对于近代建筑理论</w:t>
      </w:r>
      <w:r>
        <w:rPr>
          <w:rFonts w:hint="eastAsia"/>
          <w:color w:val="0000FF"/>
          <w:lang w:val="en-US" w:eastAsia="zh-CN"/>
        </w:rPr>
        <w:t>的贡献</w:t>
      </w:r>
      <w:r>
        <w:rPr>
          <w:rFonts w:hint="eastAsia"/>
          <w:color w:val="0000FF"/>
        </w:rPr>
        <w:t>，不仅在于重新定义巴洛克建筑的空间秩序，更在于以几何逻辑为核心的设计思想打破了传统形式的桎梏</w:t>
      </w:r>
      <w:r>
        <w:rPr>
          <w:rFonts w:hint="eastAsia"/>
          <w:color w:val="0000FF"/>
          <w:lang w:eastAsia="zh-CN"/>
        </w:rPr>
        <w:t>。</w:t>
      </w:r>
      <w:r>
        <w:rPr>
          <w:rFonts w:hint="eastAsia"/>
          <w:color w:val="0000FF"/>
        </w:rPr>
        <w:t>他的几何探索超越了装饰的表象功能，成为塑造建筑内在逻辑与空间动态的关键工具，深刻揭示了建筑作为结构与感知载体的潜在深度</w:t>
      </w:r>
      <w:r>
        <w:rPr>
          <w:rFonts w:hint="eastAsia"/>
          <w:color w:val="0000FF"/>
          <w:lang w:eastAsia="zh-CN"/>
        </w:rPr>
        <w:t>，</w:t>
      </w:r>
      <w:r>
        <w:rPr>
          <w:rFonts w:hint="eastAsia"/>
          <w:color w:val="0000FF"/>
          <w:lang w:val="en-US" w:eastAsia="zh-CN"/>
        </w:rPr>
        <w:t>这正如</w:t>
      </w:r>
      <w:r>
        <w:rPr>
          <w:rFonts w:hint="eastAsia" w:ascii="Times New Roman" w:hAnsi="Times New Roman" w:eastAsia="宋体" w:cstheme="minorBidi"/>
          <w:color w:val="0000FF"/>
          <w:sz w:val="21"/>
          <w:szCs w:val="22"/>
        </w:rPr>
        <w:t>吉迪</w:t>
      </w:r>
      <w:r>
        <w:rPr>
          <w:rFonts w:hint="eastAsia" w:cstheme="minorBidi"/>
          <w:color w:val="0000FF"/>
          <w:sz w:val="21"/>
          <w:szCs w:val="22"/>
          <w:lang w:val="en-US" w:eastAsia="zh-CN"/>
        </w:rPr>
        <w:t>恩（</w:t>
      </w:r>
      <w:r>
        <w:rPr>
          <w:rFonts w:hint="eastAsia"/>
          <w:color w:val="0000FF"/>
        </w:rPr>
        <w:t>Sigfrid</w:t>
      </w:r>
      <w:r>
        <w:rPr>
          <w:color w:val="0000FF"/>
        </w:rPr>
        <w:t xml:space="preserve"> Giedion</w:t>
      </w:r>
      <w:r>
        <w:rPr>
          <w:rFonts w:hint="eastAsia"/>
          <w:color w:val="0000FF"/>
        </w:rPr>
        <w:t>, 1888–1968</w:t>
      </w:r>
      <w:r>
        <w:rPr>
          <w:rFonts w:hint="eastAsia" w:cstheme="minorBidi"/>
          <w:color w:val="0000FF"/>
          <w:sz w:val="21"/>
          <w:szCs w:val="22"/>
          <w:lang w:val="en-US" w:eastAsia="zh-CN"/>
        </w:rPr>
        <w:t>）</w:t>
      </w:r>
      <w:r>
        <w:rPr>
          <w:rFonts w:hint="eastAsia" w:ascii="Times New Roman" w:hAnsi="Times New Roman" w:cstheme="minorBidi"/>
          <w:color w:val="0000FF"/>
          <w:sz w:val="21"/>
          <w:szCs w:val="22"/>
          <w:lang w:val="en-US" w:eastAsia="zh-CN"/>
        </w:rPr>
        <w:t>的评价，</w:t>
      </w:r>
      <w:r>
        <w:rPr>
          <w:rFonts w:hint="eastAsia"/>
          <w:color w:val="0000FF"/>
          <w:lang w:eastAsia="zh-CN"/>
        </w:rPr>
        <w:t>“</w:t>
      </w:r>
      <w:r>
        <w:rPr>
          <w:rFonts w:hint="eastAsia"/>
          <w:color w:val="0000FF"/>
          <w:lang w:val="en-US" w:eastAsia="zh-CN"/>
        </w:rPr>
        <w:t>他</w:t>
      </w:r>
      <w:r>
        <w:rPr>
          <w:rFonts w:hint="eastAsia"/>
          <w:color w:val="0000FF"/>
        </w:rPr>
        <w:t>使得古典建筑和近现代建筑之间没有断代"</w:t>
      </w:r>
      <w:r>
        <w:rPr>
          <w:rStyle w:val="21"/>
          <w:rFonts w:hint="eastAsia"/>
          <w:color w:val="0000FF"/>
        </w:rPr>
        <w:t>[</w:t>
      </w:r>
      <w:r>
        <w:rPr>
          <w:rStyle w:val="21"/>
          <w:rFonts w:hint="eastAsia"/>
          <w:color w:val="0000FF"/>
        </w:rPr>
        <w:endnoteReference w:id="31"/>
      </w:r>
      <w:r>
        <w:rPr>
          <w:rStyle w:val="21"/>
          <w:rFonts w:hint="eastAsia"/>
          <w:color w:val="0000FF"/>
        </w:rPr>
        <w:t>]</w:t>
      </w:r>
      <w:r>
        <w:rPr>
          <w:rFonts w:hint="eastAsia"/>
          <w:color w:val="0000FF"/>
        </w:rPr>
        <w:t>。</w:t>
      </w:r>
    </w:p>
    <w:p>
      <w:pPr>
        <w:ind w:firstLine="420"/>
        <w:rPr>
          <w:rFonts w:hint="eastAsia"/>
          <w:color w:val="0000FF"/>
          <w:lang w:eastAsia="zh-CN"/>
        </w:rPr>
      </w:pPr>
      <w:r>
        <w:rPr>
          <w:rFonts w:hint="eastAsia"/>
          <w:color w:val="0000FF"/>
        </w:rPr>
        <w:t>博罗米尼的创新曾一度被片面解读为“怪诞”</w:t>
      </w:r>
      <w:r>
        <w:rPr>
          <w:rFonts w:hint="eastAsia"/>
          <w:color w:val="0000FF"/>
          <w:lang w:eastAsia="zh-CN"/>
        </w:rPr>
        <w:t>、</w:t>
      </w:r>
      <w:r>
        <w:rPr>
          <w:rFonts w:hint="eastAsia"/>
          <w:color w:val="0000FF"/>
        </w:rPr>
        <w:t>“非传统”，但在剥离符号化语言的近代及当下，他的宏观、多层次的设计意图逐渐得到系统诠释，形成了超越装饰的深层体系，成为后世建筑创作的经典范本</w:t>
      </w:r>
      <w:r>
        <w:rPr>
          <w:rFonts w:hint="eastAsia"/>
          <w:color w:val="0000FF"/>
          <w:lang w:eastAsia="zh-CN"/>
        </w:rPr>
        <w:t>。</w:t>
      </w:r>
      <w:r>
        <w:rPr>
          <w:rFonts w:hint="eastAsia"/>
          <w:color w:val="0000FF"/>
        </w:rPr>
        <w:t>博罗米尼的作品启发了建筑师在几何秩序与结构交织的探索中开拓新境，赋予空间体验更深层次的文化意涵</w:t>
      </w:r>
      <w:r>
        <w:rPr>
          <w:rFonts w:hint="eastAsia"/>
          <w:color w:val="0000FF"/>
          <w:lang w:eastAsia="zh-CN"/>
        </w:rPr>
        <w:t>，</w:t>
      </w:r>
      <w:r>
        <w:rPr>
          <w:rFonts w:hint="eastAsia"/>
          <w:color w:val="0000FF"/>
          <w:lang w:val="en-US" w:eastAsia="zh-CN"/>
        </w:rPr>
        <w:t>其建筑方法和智慧</w:t>
      </w:r>
      <w:r>
        <w:rPr>
          <w:rFonts w:hint="eastAsia"/>
          <w:color w:val="0000FF"/>
        </w:rPr>
        <w:t>的价值不</w:t>
      </w:r>
      <w:r>
        <w:rPr>
          <w:rFonts w:hint="eastAsia"/>
          <w:color w:val="0000FF"/>
          <w:lang w:val="en-US" w:eastAsia="zh-CN"/>
        </w:rPr>
        <w:t>仅限于对于形式的追求，</w:t>
      </w:r>
      <w:r>
        <w:rPr>
          <w:rFonts w:hint="eastAsia"/>
          <w:color w:val="0000FF"/>
        </w:rPr>
        <w:t>而在于对几何逻辑与空间秩序的深度挖掘</w:t>
      </w:r>
      <w:r>
        <w:rPr>
          <w:rFonts w:hint="eastAsia"/>
          <w:color w:val="0000FF"/>
          <w:lang w:eastAsia="zh-CN"/>
        </w:rPr>
        <w:t>。</w:t>
      </w:r>
      <w:r>
        <w:rPr>
          <w:rFonts w:hint="eastAsia"/>
          <w:color w:val="0000FF"/>
        </w:rPr>
        <w:t>唯有在形式与内在逻辑的紧密结合中，建筑才能实现超越时代的真正意义。</w:t>
      </w:r>
    </w:p>
    <w:p>
      <w:pPr>
        <w:pStyle w:val="3"/>
        <w:spacing w:line="240" w:lineRule="auto"/>
        <w:rPr>
          <w:rFonts w:ascii="Calibri" w:hAnsi="Calibri" w:eastAsia="宋体" w:cs="Arial"/>
          <w:color w:val="000000"/>
          <w:sz w:val="15"/>
          <w:szCs w:val="15"/>
          <w:lang w:eastAsia="zh-Hans" w:bidi="ar-SA"/>
        </w:rPr>
      </w:pPr>
      <w:r>
        <w:rPr>
          <w:rFonts w:hint="eastAsia"/>
          <w:lang w:eastAsia="zh-Hans"/>
        </w:rPr>
        <w:t>参考文献</w:t>
      </w:r>
    </w:p>
    <w:sectPr>
      <w:endnotePr>
        <w:numFmt w:val="decimal"/>
      </w:endnotePr>
      <w:pgSz w:w="11906" w:h="16838"/>
      <w:pgMar w:top="1440" w:right="1800" w:bottom="1440" w:left="1800" w:header="851" w:footer="992" w:gutter="0"/>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64">
    <w:p>
      <w:pPr>
        <w:spacing w:line="240" w:lineRule="auto"/>
        <w:ind w:firstLine="420"/>
      </w:pPr>
    </w:p>
  </w:endnote>
  <w:endnote w:type="continuationSeparator" w:id="65">
    <w:p>
      <w:pPr>
        <w:spacing w:line="240" w:lineRule="auto"/>
        <w:ind w:firstLine="420"/>
      </w:pPr>
    </w:p>
  </w:endnote>
  <w:endnote w:id="0">
    <w:p>
      <w:pPr>
        <w:snapToGrid/>
        <w:spacing w:line="240" w:lineRule="auto"/>
        <w:ind w:left="300" w:hanging="300" w:hangingChars="200"/>
        <w:rPr>
          <w:rFonts w:hint="eastAsia" w:ascii="Calibri" w:hAnsi="Calibri" w:eastAsia="宋体" w:cs="Arial"/>
          <w:color w:val="0000FF"/>
          <w:sz w:val="15"/>
          <w:szCs w:val="15"/>
          <w:lang w:val="it-IT" w:bidi="ar-SA"/>
        </w:rPr>
      </w:pPr>
      <w:r>
        <w:rPr>
          <w:rStyle w:val="19"/>
          <w:rFonts w:hint="eastAsia" w:ascii="Calibri" w:hAnsi="Calibri" w:eastAsia="宋体" w:cs="Arial"/>
          <w:color w:val="0000FF"/>
          <w:sz w:val="15"/>
          <w:szCs w:val="15"/>
          <w:lang w:val="it-IT" w:bidi="ar-SA"/>
        </w:rPr>
        <w:t>[</w:t>
      </w:r>
      <w:r>
        <w:rPr>
          <w:rStyle w:val="19"/>
          <w:rFonts w:hint="eastAsia" w:ascii="Calibri" w:hAnsi="Calibri" w:eastAsia="宋体" w:cs="Arial"/>
          <w:color w:val="0000FF"/>
          <w:sz w:val="15"/>
          <w:szCs w:val="15"/>
          <w:lang w:val="it-IT" w:bidi="ar-SA"/>
        </w:rPr>
        <w:endnoteRef/>
      </w:r>
      <w:r>
        <w:rPr>
          <w:rStyle w:val="19"/>
          <w:rFonts w:hint="eastAsia" w:ascii="Calibri" w:hAnsi="Calibri" w:eastAsia="宋体" w:cs="Arial"/>
          <w:color w:val="0000FF"/>
          <w:sz w:val="15"/>
          <w:szCs w:val="15"/>
          <w:lang w:val="it-IT" w:bidi="ar-SA"/>
        </w:rPr>
        <w:t>]</w:t>
      </w:r>
      <w:r>
        <w:rPr>
          <w:rFonts w:hint="eastAsia" w:ascii="Calibri" w:hAnsi="Calibri" w:eastAsia="宋体" w:cs="Arial"/>
          <w:color w:val="0000FF"/>
          <w:sz w:val="15"/>
          <w:szCs w:val="15"/>
          <w:lang w:val="it-IT" w:bidi="ar-SA"/>
        </w:rPr>
        <w:t xml:space="preserve"> </w:t>
      </w:r>
      <w:r>
        <w:rPr>
          <w:rFonts w:hint="default" w:ascii="Calibri" w:hAnsi="Calibri" w:eastAsia="宋体" w:cs="Arial"/>
          <w:color w:val="0000FF"/>
          <w:sz w:val="15"/>
          <w:szCs w:val="15"/>
          <w:lang w:val="it-IT" w:bidi="ar-SA"/>
        </w:rPr>
        <w:t>Christian Norberg Schulz, Baroque Architecture [M] Electa Editrice, Milano, 1979</w:t>
      </w:r>
      <w:r>
        <w:rPr>
          <w:rFonts w:hint="eastAsia" w:ascii="Calibri" w:hAnsi="Calibri" w:eastAsia="宋体" w:cs="Arial"/>
          <w:color w:val="0000FF"/>
          <w:sz w:val="15"/>
          <w:szCs w:val="15"/>
          <w:lang w:val="it-IT" w:eastAsia="zh-CN" w:bidi="ar-SA"/>
        </w:rPr>
        <w:t>；</w:t>
      </w:r>
    </w:p>
  </w:endnote>
  <w:endnote w:id="1">
    <w:p>
      <w:pPr>
        <w:adjustRightInd/>
        <w:snapToGrid/>
        <w:spacing w:line="240" w:lineRule="auto"/>
        <w:ind w:left="300" w:hanging="300" w:hangingChars="200"/>
        <w:rPr>
          <w:rFonts w:hint="default" w:ascii="Calibri" w:hAnsi="Calibri" w:cs="Arial"/>
          <w:color w:val="0000FF"/>
          <w:sz w:val="15"/>
          <w:szCs w:val="15"/>
          <w:lang w:val="it-IT" w:bidi="ar-SA"/>
        </w:rPr>
      </w:pPr>
      <w:r>
        <w:rPr>
          <w:rFonts w:hint="default" w:ascii="Calibri" w:hAnsi="Calibri" w:cs="Arial"/>
          <w:color w:val="0000FF"/>
          <w:sz w:val="15"/>
          <w:szCs w:val="15"/>
          <w:lang w:val="it-IT" w:bidi="ar-SA"/>
        </w:rPr>
        <w:t>[</w:t>
      </w:r>
      <w:r>
        <w:rPr>
          <w:rFonts w:hint="default" w:ascii="Calibri" w:hAnsi="Calibri" w:cs="Arial"/>
          <w:color w:val="0000FF"/>
          <w:sz w:val="15"/>
          <w:szCs w:val="15"/>
          <w:lang w:val="it-IT" w:bidi="ar-SA"/>
        </w:rPr>
        <w:endnoteRef/>
      </w:r>
      <w:r>
        <w:rPr>
          <w:rFonts w:hint="default" w:ascii="Calibri" w:hAnsi="Calibri" w:cs="Arial"/>
          <w:color w:val="0000FF"/>
          <w:sz w:val="15"/>
          <w:szCs w:val="15"/>
          <w:lang w:val="it-IT" w:bidi="ar-SA"/>
        </w:rPr>
        <w:t xml:space="preserve">] </w:t>
      </w:r>
      <w:r>
        <w:rPr>
          <w:rFonts w:hint="eastAsia" w:ascii="Calibri" w:hAnsi="Calibri" w:eastAsia="宋体" w:cs="Arial"/>
          <w:color w:val="0000FF"/>
          <w:kern w:val="2"/>
          <w:sz w:val="15"/>
          <w:szCs w:val="15"/>
          <w:lang w:val="it-IT" w:eastAsia="zh-CN" w:bidi="ar-SA"/>
        </w:rPr>
        <w:t>Electa, Le Cupole Di Borromini[M]Mondadori Electa S.p.A, Milano, 2004；</w:t>
      </w:r>
    </w:p>
  </w:endnote>
  <w:endnote w:id="2">
    <w:p>
      <w:pPr>
        <w:snapToGrid/>
        <w:spacing w:line="240" w:lineRule="auto"/>
        <w:ind w:left="300" w:hanging="300" w:hangingChars="200"/>
        <w:rPr>
          <w:rFonts w:hint="eastAsia" w:ascii="Calibri" w:hAnsi="Calibri" w:eastAsia="宋体" w:cs="Arial"/>
          <w:color w:val="0000FF"/>
          <w:sz w:val="15"/>
          <w:szCs w:val="15"/>
          <w:lang w:val="it-IT" w:bidi="ar-SA"/>
        </w:rPr>
      </w:pPr>
      <w:r>
        <w:rPr>
          <w:rStyle w:val="19"/>
          <w:rFonts w:hint="eastAsia" w:ascii="Calibri" w:hAnsi="Calibri" w:eastAsia="宋体" w:cs="Arial"/>
          <w:color w:val="0000FF"/>
          <w:sz w:val="15"/>
          <w:szCs w:val="15"/>
          <w:lang w:val="it-IT" w:bidi="ar-SA"/>
        </w:rPr>
        <w:t>[</w:t>
      </w:r>
      <w:r>
        <w:rPr>
          <w:rStyle w:val="19"/>
          <w:rFonts w:hint="eastAsia" w:ascii="Calibri" w:hAnsi="Calibri" w:eastAsia="宋体" w:cs="Arial"/>
          <w:color w:val="0000FF"/>
          <w:sz w:val="15"/>
          <w:szCs w:val="15"/>
          <w:lang w:val="it-IT" w:bidi="ar-SA"/>
        </w:rPr>
        <w:endnoteRef/>
      </w:r>
      <w:r>
        <w:rPr>
          <w:rStyle w:val="19"/>
          <w:rFonts w:hint="eastAsia" w:ascii="Calibri" w:hAnsi="Calibri" w:eastAsia="宋体" w:cs="Arial"/>
          <w:color w:val="0000FF"/>
          <w:sz w:val="15"/>
          <w:szCs w:val="15"/>
          <w:lang w:val="it-IT" w:bidi="ar-SA"/>
        </w:rPr>
        <w:t>]</w:t>
      </w:r>
      <w:r>
        <w:rPr>
          <w:rFonts w:hint="eastAsia" w:ascii="Calibri" w:hAnsi="Calibri" w:eastAsia="宋体" w:cs="Arial"/>
          <w:color w:val="0000FF"/>
          <w:sz w:val="15"/>
          <w:szCs w:val="15"/>
          <w:lang w:val="it-IT" w:bidi="ar-SA"/>
        </w:rPr>
        <w:t xml:space="preserve"> </w:t>
      </w:r>
      <w:r>
        <w:rPr>
          <w:rFonts w:hint="eastAsia" w:ascii="Calibri" w:hAnsi="Calibri" w:eastAsia="宋体" w:cs="Arial"/>
          <w:color w:val="0000FF"/>
          <w:kern w:val="2"/>
          <w:sz w:val="15"/>
          <w:szCs w:val="15"/>
          <w:lang w:val="it-IT" w:eastAsia="zh-CN" w:bidi="ar-SA"/>
        </w:rPr>
        <w:t>Sylvie Duvernoy, Baroque Oval Churches: Innovative Geometrical  Patterns in Early Modern Sacred Architecture [J] exus</w:t>
      </w:r>
      <w:r>
        <w:rPr>
          <w:rFonts w:hint="default" w:ascii="Calibri" w:hAnsi="Calibri" w:eastAsia="宋体" w:cs="Arial"/>
          <w:color w:val="0000FF"/>
          <w:sz w:val="15"/>
          <w:szCs w:val="15"/>
          <w:lang w:val="it-IT" w:eastAsia="zh-CN" w:bidi="ar-SA"/>
        </w:rPr>
        <w:t xml:space="preserve"> Network Journal (2015) 17:425–456; </w:t>
      </w:r>
    </w:p>
  </w:endnote>
  <w:endnote w:id="3">
    <w:p>
      <w:pPr>
        <w:snapToGrid/>
        <w:spacing w:line="240" w:lineRule="auto"/>
        <w:ind w:left="300" w:hanging="300" w:hangingChars="200"/>
        <w:rPr>
          <w:rFonts w:hint="eastAsia" w:ascii="Calibri" w:hAnsi="Calibri" w:eastAsia="宋体" w:cs="Arial"/>
          <w:color w:val="0000FF"/>
          <w:sz w:val="15"/>
          <w:szCs w:val="15"/>
          <w:lang w:val="it-IT" w:bidi="ar-SA"/>
        </w:rPr>
      </w:pPr>
      <w:r>
        <w:rPr>
          <w:rStyle w:val="19"/>
          <w:rFonts w:hint="eastAsia" w:ascii="Calibri" w:hAnsi="Calibri" w:eastAsia="宋体" w:cs="Arial"/>
          <w:color w:val="0000FF"/>
          <w:sz w:val="15"/>
          <w:szCs w:val="15"/>
          <w:lang w:val="it-IT" w:bidi="ar-SA"/>
        </w:rPr>
        <w:t>[</w:t>
      </w:r>
      <w:r>
        <w:rPr>
          <w:rStyle w:val="19"/>
          <w:rFonts w:hint="eastAsia" w:ascii="Calibri" w:hAnsi="Calibri" w:eastAsia="宋体" w:cs="Arial"/>
          <w:color w:val="0000FF"/>
          <w:sz w:val="15"/>
          <w:szCs w:val="15"/>
          <w:lang w:val="it-IT" w:bidi="ar-SA"/>
        </w:rPr>
        <w:endnoteRef/>
      </w:r>
      <w:r>
        <w:rPr>
          <w:rStyle w:val="19"/>
          <w:rFonts w:hint="eastAsia" w:ascii="Calibri" w:hAnsi="Calibri" w:eastAsia="宋体" w:cs="Arial"/>
          <w:color w:val="0000FF"/>
          <w:sz w:val="15"/>
          <w:szCs w:val="15"/>
          <w:lang w:val="it-IT" w:bidi="ar-SA"/>
        </w:rPr>
        <w:t>]</w:t>
      </w:r>
      <w:r>
        <w:rPr>
          <w:rFonts w:hint="eastAsia" w:ascii="Calibri" w:hAnsi="Calibri" w:eastAsia="宋体" w:cs="Arial"/>
          <w:color w:val="0000FF"/>
          <w:sz w:val="15"/>
          <w:szCs w:val="15"/>
          <w:lang w:val="it-IT" w:bidi="ar-SA"/>
        </w:rPr>
        <w:t xml:space="preserve"> </w:t>
      </w:r>
      <w:r>
        <w:rPr>
          <w:rFonts w:hint="default" w:ascii="Calibri" w:hAnsi="Calibri" w:eastAsia="宋体" w:cs="Arial"/>
          <w:color w:val="0000FF"/>
          <w:sz w:val="15"/>
          <w:szCs w:val="15"/>
          <w:lang w:val="it-IT" w:bidi="ar-SA"/>
        </w:rPr>
        <w:t>Robert Neuman，Baroque and Rococo Art and Architecture, Pearson Education, 2013;</w:t>
      </w:r>
    </w:p>
  </w:endnote>
  <w:endnote w:id="4">
    <w:p>
      <w:pPr>
        <w:adjustRightInd w:val="0"/>
        <w:snapToGrid w:val="0"/>
        <w:spacing w:line="240" w:lineRule="auto"/>
        <w:ind w:firstLine="0" w:firstLineChars="0"/>
        <w:rPr>
          <w:rFonts w:ascii="Calibri" w:hAnsi="Calibri" w:cs="Arial"/>
          <w:color w:val="0000FF"/>
          <w:sz w:val="15"/>
          <w:szCs w:val="15"/>
          <w:lang w:val="it-IT" w:bidi="ar-SA"/>
        </w:rPr>
      </w:pPr>
      <w:r>
        <w:rPr>
          <w:rFonts w:hint="eastAsia" w:ascii="Calibri" w:hAnsi="Calibri" w:cs="Arial"/>
          <w:color w:val="0000FF"/>
          <w:sz w:val="15"/>
          <w:szCs w:val="15"/>
          <w:lang w:val="it-IT" w:bidi="ar-SA"/>
        </w:rPr>
        <w:t>[</w:t>
      </w:r>
      <w:r>
        <w:rPr>
          <w:rFonts w:hint="eastAsia" w:ascii="Calibri" w:hAnsi="Calibri" w:cs="Arial"/>
          <w:color w:val="0000FF"/>
          <w:sz w:val="15"/>
          <w:szCs w:val="15"/>
          <w:lang w:val="it-IT" w:bidi="ar-SA"/>
        </w:rPr>
        <w:endnoteRef/>
      </w:r>
      <w:r>
        <w:rPr>
          <w:rFonts w:hint="eastAsia" w:ascii="Calibri" w:hAnsi="Calibri" w:cs="Arial"/>
          <w:color w:val="0000FF"/>
          <w:sz w:val="15"/>
          <w:szCs w:val="15"/>
          <w:lang w:val="it-IT" w:bidi="ar-SA"/>
        </w:rPr>
        <w:t>] 王明道.巴洛克美术的形成与发展[J].西北美术,1999（04）:3-5.</w:t>
      </w:r>
    </w:p>
  </w:endnote>
  <w:endnote w:id="5">
    <w:p>
      <w:pPr>
        <w:adjustRightInd/>
        <w:snapToGrid/>
        <w:spacing w:line="240" w:lineRule="auto"/>
        <w:ind w:left="300" w:hanging="300" w:hangingChars="200"/>
        <w:rPr>
          <w:rFonts w:hint="eastAsia" w:ascii="Calibri" w:hAnsi="Calibri" w:cs="Arial"/>
          <w:color w:val="000000"/>
          <w:sz w:val="15"/>
          <w:szCs w:val="15"/>
          <w:lang w:val="it-IT" w:bidi="ar-SA"/>
        </w:rPr>
      </w:pPr>
      <w:r>
        <w:rPr>
          <w:rFonts w:hint="default" w:ascii="Calibri" w:hAnsi="Calibri" w:cs="Arial"/>
          <w:color w:val="000000"/>
          <w:sz w:val="15"/>
          <w:szCs w:val="15"/>
          <w:lang w:val="it-IT" w:bidi="ar-SA"/>
        </w:rPr>
        <w:t>[</w:t>
      </w:r>
      <w:r>
        <w:rPr>
          <w:rFonts w:hint="default" w:ascii="Calibri" w:hAnsi="Calibri" w:cs="Arial"/>
          <w:color w:val="000000"/>
          <w:sz w:val="15"/>
          <w:szCs w:val="15"/>
          <w:lang w:val="it-IT" w:bidi="ar-SA"/>
        </w:rPr>
        <w:endnoteRef/>
      </w:r>
      <w:r>
        <w:rPr>
          <w:rFonts w:hint="default" w:ascii="Calibri" w:hAnsi="Calibri" w:cs="Arial"/>
          <w:color w:val="000000"/>
          <w:sz w:val="15"/>
          <w:szCs w:val="15"/>
          <w:lang w:val="it-IT" w:bidi="ar-SA"/>
        </w:rPr>
        <w:t>] Francesco Borromini, Giannini, Sebastiano. Opus Architectonicum Equitis Francisci Boromini [M]</w:t>
      </w:r>
      <w:r>
        <w:rPr>
          <w:rFonts w:hint="eastAsia" w:ascii="Calibri" w:hAnsi="Calibri" w:cs="Arial"/>
          <w:color w:val="000000"/>
          <w:sz w:val="15"/>
          <w:szCs w:val="15"/>
          <w:lang w:val="it-IT" w:bidi="ar-SA"/>
        </w:rPr>
        <w:t xml:space="preserve">. </w:t>
      </w:r>
      <w:r>
        <w:rPr>
          <w:rFonts w:hint="default" w:ascii="Calibri" w:hAnsi="Calibri" w:cs="Arial"/>
          <w:color w:val="000000"/>
          <w:sz w:val="15"/>
          <w:szCs w:val="15"/>
          <w:lang w:val="it-IT" w:bidi="ar-SA"/>
        </w:rPr>
        <w:t>Lugano, Giulio Topi, Editore-Stampatore, 1725</w:t>
      </w:r>
      <w:r>
        <w:rPr>
          <w:rFonts w:hint="eastAsia" w:ascii="Calibri" w:hAnsi="Calibri" w:eastAsia="宋体" w:cs="Arial"/>
          <w:color w:val="000000"/>
          <w:sz w:val="15"/>
          <w:szCs w:val="15"/>
          <w:lang w:val="it-IT" w:eastAsia="zh-CN" w:bidi="ar-SA"/>
        </w:rPr>
        <w:t>；</w:t>
      </w:r>
      <w:bookmarkStart w:id="23" w:name="_GoBack"/>
      <w:bookmarkEnd w:id="23"/>
    </w:p>
  </w:endnote>
  <w:endnote w:id="6">
    <w:p>
      <w:pPr>
        <w:adjustRightInd/>
        <w:snapToGrid/>
        <w:spacing w:line="240" w:lineRule="auto"/>
        <w:ind w:left="300" w:hanging="300" w:hangingChars="200"/>
        <w:rPr>
          <w:rFonts w:hint="eastAsia" w:ascii="Calibri" w:hAnsi="Calibri" w:cs="Arial"/>
          <w:color w:val="auto"/>
          <w:sz w:val="15"/>
          <w:szCs w:val="15"/>
          <w:lang w:val="it-IT" w:bidi="ar-SA"/>
        </w:rPr>
      </w:pPr>
      <w:r>
        <w:rPr>
          <w:rFonts w:hint="default" w:ascii="Calibri" w:hAnsi="Calibri" w:cs="Arial"/>
          <w:color w:val="auto"/>
          <w:sz w:val="15"/>
          <w:szCs w:val="15"/>
          <w:lang w:val="it-IT" w:bidi="ar-SA"/>
        </w:rPr>
        <w:t>[</w:t>
      </w:r>
      <w:r>
        <w:rPr>
          <w:rFonts w:hint="default" w:ascii="Calibri" w:hAnsi="Calibri" w:cs="Arial"/>
          <w:color w:val="auto"/>
          <w:sz w:val="15"/>
          <w:szCs w:val="15"/>
          <w:lang w:val="it-IT" w:bidi="ar-SA"/>
        </w:rPr>
        <w:endnoteRef/>
      </w:r>
      <w:r>
        <w:rPr>
          <w:rFonts w:hint="default" w:ascii="Calibri" w:hAnsi="Calibri" w:cs="Arial"/>
          <w:color w:val="auto"/>
          <w:sz w:val="15"/>
          <w:szCs w:val="15"/>
          <w:lang w:val="it-IT" w:bidi="ar-SA"/>
        </w:rPr>
        <w:t>] Parrilla F, Borchia M. Le collezioni degli artisti in Italia: trasformazioni e continuità di un fenomeno sociale dal Cinquecento al Settecento[J]. 2019</w:t>
      </w:r>
      <w:r>
        <w:rPr>
          <w:rFonts w:hint="eastAsia" w:ascii="Calibri" w:hAnsi="Calibri" w:eastAsia="宋体" w:cs="Arial"/>
          <w:color w:val="auto"/>
          <w:sz w:val="15"/>
          <w:szCs w:val="15"/>
          <w:lang w:val="it-IT" w:eastAsia="zh-CN" w:bidi="ar-SA"/>
        </w:rPr>
        <w:t>；</w:t>
      </w:r>
    </w:p>
  </w:endnote>
  <w:endnote w:id="7">
    <w:p>
      <w:pPr>
        <w:adjustRightInd/>
        <w:snapToGrid/>
        <w:spacing w:line="240" w:lineRule="auto"/>
        <w:ind w:left="300" w:hanging="300" w:hangingChars="200"/>
        <w:rPr>
          <w:rFonts w:hint="eastAsia" w:ascii="Calibri" w:hAnsi="Calibri" w:cs="Arial"/>
          <w:color w:val="000000"/>
          <w:sz w:val="15"/>
          <w:szCs w:val="15"/>
          <w:lang w:val="it-IT" w:bidi="ar-SA"/>
        </w:rPr>
      </w:pPr>
      <w:r>
        <w:rPr>
          <w:rFonts w:hint="default" w:ascii="Calibri" w:hAnsi="Calibri" w:cs="Arial"/>
          <w:color w:val="000000"/>
          <w:sz w:val="15"/>
          <w:szCs w:val="15"/>
          <w:lang w:val="it-IT" w:bidi="ar-SA"/>
        </w:rPr>
        <w:t>[</w:t>
      </w:r>
      <w:r>
        <w:rPr>
          <w:rFonts w:hint="default" w:ascii="Calibri" w:hAnsi="Calibri" w:cs="Arial"/>
          <w:color w:val="000000"/>
          <w:sz w:val="15"/>
          <w:szCs w:val="15"/>
          <w:lang w:val="it-IT" w:bidi="ar-SA"/>
        </w:rPr>
        <w:endnoteRef/>
      </w:r>
      <w:r>
        <w:rPr>
          <w:rFonts w:hint="default" w:ascii="Calibri" w:hAnsi="Calibri" w:cs="Arial"/>
          <w:color w:val="000000"/>
          <w:sz w:val="15"/>
          <w:szCs w:val="15"/>
          <w:lang w:val="it-IT" w:bidi="ar-SA"/>
        </w:rPr>
        <w:t>] Barry F. Borromini, the Cavaliere d</w:t>
      </w:r>
      <w:r>
        <w:rPr>
          <w:rFonts w:hint="eastAsia" w:ascii="Calibri" w:hAnsi="Calibri" w:cs="Arial"/>
          <w:color w:val="000000"/>
          <w:sz w:val="15"/>
          <w:szCs w:val="15"/>
          <w:lang w:val="it-IT" w:bidi="ar-SA"/>
        </w:rPr>
        <w:t>’</w:t>
      </w:r>
      <w:r>
        <w:rPr>
          <w:rFonts w:hint="default" w:ascii="Calibri" w:hAnsi="Calibri" w:cs="Arial"/>
          <w:color w:val="000000"/>
          <w:sz w:val="15"/>
          <w:szCs w:val="15"/>
          <w:lang w:val="it-IT" w:bidi="ar-SA"/>
        </w:rPr>
        <w:t>Arpino, and Others at Santa Lucia in Selci:（with a Note on Santa Maria della Purificazione and the Architect Giovanni Paolo Maggi）[J]. Römisches Jahrbuch der Bibliotheca Hertziana, 2022, 45: 261-337.</w:t>
      </w:r>
    </w:p>
  </w:endnote>
  <w:endnote w:id="8">
    <w:p>
      <w:pPr>
        <w:adjustRightInd/>
        <w:snapToGrid/>
        <w:spacing w:line="240" w:lineRule="auto"/>
        <w:ind w:left="300" w:hanging="300" w:hangingChars="200"/>
        <w:rPr>
          <w:rFonts w:hint="eastAsia" w:ascii="Calibri" w:hAnsi="Calibri" w:cs="Arial"/>
          <w:color w:val="000000"/>
          <w:sz w:val="15"/>
          <w:szCs w:val="15"/>
          <w:lang w:val="it-IT" w:bidi="ar-SA"/>
        </w:rPr>
      </w:pPr>
      <w:r>
        <w:rPr>
          <w:rFonts w:hint="eastAsia" w:ascii="Calibri" w:hAnsi="Calibri" w:cs="Arial"/>
          <w:color w:val="000000"/>
          <w:sz w:val="15"/>
          <w:szCs w:val="15"/>
          <w:lang w:val="it-IT" w:bidi="ar-SA"/>
        </w:rPr>
        <w:t>[</w:t>
      </w:r>
      <w:r>
        <w:rPr>
          <w:rFonts w:hint="eastAsia" w:ascii="Calibri" w:hAnsi="Calibri" w:cs="Arial"/>
          <w:color w:val="000000"/>
          <w:sz w:val="15"/>
          <w:szCs w:val="15"/>
          <w:lang w:val="it-IT" w:bidi="ar-SA"/>
        </w:rPr>
        <w:endnoteRef/>
      </w:r>
      <w:r>
        <w:rPr>
          <w:rFonts w:hint="eastAsia" w:ascii="Calibri" w:hAnsi="Calibri" w:cs="Arial"/>
          <w:color w:val="000000"/>
          <w:sz w:val="15"/>
          <w:szCs w:val="15"/>
          <w:lang w:val="it-IT" w:bidi="ar-SA"/>
        </w:rPr>
        <w:t>] Frances Huemer, Borromini and Michelangelo, III: the Dome of Sant’ Andrea della Valle [J] the University of Chicago Press, 2016.</w:t>
      </w:r>
    </w:p>
  </w:endnote>
  <w:endnote w:id="9">
    <w:p>
      <w:pPr>
        <w:adjustRightInd/>
        <w:snapToGrid/>
        <w:spacing w:line="240" w:lineRule="auto"/>
        <w:ind w:left="300" w:hanging="300" w:hangingChars="200"/>
        <w:rPr>
          <w:rFonts w:hint="eastAsia" w:ascii="Calibri" w:hAnsi="Calibri" w:cs="Arial"/>
          <w:color w:val="000000"/>
          <w:sz w:val="15"/>
          <w:szCs w:val="15"/>
          <w:lang w:val="it-IT" w:bidi="ar-SA"/>
        </w:rPr>
      </w:pPr>
      <w:r>
        <w:rPr>
          <w:rFonts w:hint="eastAsia" w:ascii="Calibri" w:hAnsi="Calibri" w:cs="Arial"/>
          <w:color w:val="000000"/>
          <w:sz w:val="15"/>
          <w:szCs w:val="15"/>
          <w:lang w:val="it-IT" w:bidi="ar-SA"/>
        </w:rPr>
        <w:t>[</w:t>
      </w:r>
      <w:r>
        <w:rPr>
          <w:rFonts w:hint="eastAsia" w:ascii="Calibri" w:hAnsi="Calibri" w:cs="Arial"/>
          <w:color w:val="000000"/>
          <w:sz w:val="15"/>
          <w:szCs w:val="15"/>
          <w:lang w:val="it-IT" w:bidi="ar-SA"/>
        </w:rPr>
        <w:endnoteRef/>
      </w:r>
      <w:r>
        <w:rPr>
          <w:rFonts w:hint="eastAsia" w:ascii="Calibri" w:hAnsi="Calibri" w:cs="Arial"/>
          <w:color w:val="000000"/>
          <w:sz w:val="15"/>
          <w:szCs w:val="15"/>
          <w:lang w:val="it-IT" w:bidi="ar-SA"/>
        </w:rPr>
        <w:t>] Jake Morrissey. The Genius in the Design: Bernini, Borromini, and the Rivalry That Transformed Rome [M] HarperCollins Publishers, 2006</w:t>
      </w:r>
      <w:r>
        <w:rPr>
          <w:rFonts w:hint="eastAsia" w:ascii="Calibri" w:hAnsi="Calibri" w:eastAsia="宋体" w:cs="Arial"/>
          <w:color w:val="000000"/>
          <w:sz w:val="15"/>
          <w:szCs w:val="15"/>
          <w:lang w:val="it-IT" w:eastAsia="zh-CN" w:bidi="ar-SA"/>
        </w:rPr>
        <w:t>；</w:t>
      </w:r>
    </w:p>
  </w:endnote>
  <w:endnote w:id="10">
    <w:p>
      <w:pPr>
        <w:adjustRightInd/>
        <w:snapToGrid/>
        <w:spacing w:line="240" w:lineRule="auto"/>
        <w:ind w:left="300" w:hanging="300" w:hangingChars="200"/>
        <w:rPr>
          <w:rFonts w:hint="eastAsia" w:ascii="Calibri" w:hAnsi="Calibri" w:eastAsia="宋体" w:cs="Arial"/>
          <w:color w:val="000000"/>
          <w:sz w:val="15"/>
          <w:szCs w:val="15"/>
          <w:lang w:val="it-IT" w:bidi="ar-SA"/>
        </w:rPr>
      </w:pPr>
      <w:r>
        <w:rPr>
          <w:rFonts w:hint="eastAsia" w:ascii="Calibri" w:hAnsi="Calibri" w:cs="Arial"/>
          <w:color w:val="000000"/>
          <w:sz w:val="15"/>
          <w:szCs w:val="15"/>
          <w:lang w:val="it-IT" w:bidi="ar-SA"/>
        </w:rPr>
        <w:t>[</w:t>
      </w:r>
      <w:r>
        <w:rPr>
          <w:rFonts w:hint="eastAsia" w:ascii="Calibri" w:hAnsi="Calibri" w:cs="Arial"/>
          <w:color w:val="000000"/>
          <w:sz w:val="15"/>
          <w:szCs w:val="15"/>
          <w:lang w:val="it-IT" w:bidi="ar-SA"/>
        </w:rPr>
        <w:endnoteRef/>
      </w:r>
      <w:r>
        <w:rPr>
          <w:rFonts w:hint="eastAsia" w:ascii="Calibri" w:hAnsi="Calibri" w:eastAsia="宋体" w:cs="Arial"/>
          <w:color w:val="000000"/>
          <w:sz w:val="15"/>
          <w:szCs w:val="15"/>
          <w:lang w:val="it-IT" w:bidi="ar-SA"/>
        </w:rPr>
        <w:t>] Wolfflin, Heinrich, Renaissance and Baroque, trans. Kathrin Simon [M] Cornell University Press, 1966.</w:t>
      </w:r>
    </w:p>
  </w:endnote>
  <w:endnote w:id="11">
    <w:p>
      <w:pPr>
        <w:snapToGrid/>
        <w:spacing w:line="240" w:lineRule="auto"/>
        <w:ind w:left="300" w:hanging="300" w:hangingChars="200"/>
        <w:rPr>
          <w:rFonts w:hint="eastAsia" w:ascii="Calibri" w:hAnsi="Calibri" w:eastAsia="宋体" w:cs="Arial"/>
          <w:color w:val="000000"/>
          <w:sz w:val="15"/>
          <w:szCs w:val="15"/>
          <w:lang w:val="it-IT" w:bidi="ar-SA"/>
        </w:rPr>
      </w:pPr>
      <w:r>
        <w:rPr>
          <w:rFonts w:hint="eastAsia" w:ascii="Calibri" w:hAnsi="Calibri" w:eastAsia="宋体" w:cs="Arial"/>
          <w:color w:val="000000"/>
          <w:sz w:val="15"/>
          <w:szCs w:val="15"/>
          <w:lang w:val="it-IT" w:bidi="ar-SA"/>
        </w:rPr>
        <w:t>[</w:t>
      </w:r>
      <w:r>
        <w:rPr>
          <w:rFonts w:hint="eastAsia" w:ascii="Calibri" w:hAnsi="Calibri" w:eastAsia="宋体" w:cs="Arial"/>
          <w:color w:val="000000"/>
          <w:sz w:val="15"/>
          <w:szCs w:val="15"/>
          <w:lang w:val="it-IT" w:bidi="ar-SA"/>
        </w:rPr>
        <w:endnoteRef/>
      </w:r>
      <w:r>
        <w:rPr>
          <w:rFonts w:hint="eastAsia" w:ascii="Calibri" w:hAnsi="Calibri" w:eastAsia="宋体" w:cs="Arial"/>
          <w:color w:val="000000"/>
          <w:sz w:val="15"/>
          <w:szCs w:val="15"/>
          <w:lang w:val="it-IT" w:bidi="ar-SA"/>
        </w:rPr>
        <w:t>] Javier Verdugo Santo, Christian interpretation of the Ancient monuments in Rome Sixtus V (1585-1590)[M] Archivo Español de Arqueología 2017, 90, p53-76</w:t>
      </w:r>
    </w:p>
  </w:endnote>
  <w:endnote w:id="12">
    <w:p>
      <w:pPr>
        <w:snapToGrid/>
        <w:spacing w:line="240" w:lineRule="auto"/>
        <w:ind w:left="300" w:hanging="300" w:hangingChars="200"/>
        <w:rPr>
          <w:rFonts w:hint="eastAsia" w:ascii="Calibri" w:hAnsi="Calibri" w:eastAsia="宋体" w:cs="Arial"/>
          <w:color w:val="000000"/>
          <w:sz w:val="15"/>
          <w:szCs w:val="15"/>
          <w:lang w:val="it-IT" w:bidi="ar-SA"/>
        </w:rPr>
      </w:pPr>
      <w:r>
        <w:rPr>
          <w:rFonts w:hint="eastAsia" w:ascii="Calibri" w:hAnsi="Calibri" w:eastAsia="宋体" w:cs="Arial"/>
          <w:color w:val="000000"/>
          <w:sz w:val="15"/>
          <w:szCs w:val="15"/>
          <w:lang w:val="it-IT" w:bidi="ar-SA"/>
        </w:rPr>
        <w:t>[</w:t>
      </w:r>
      <w:r>
        <w:rPr>
          <w:rFonts w:hint="eastAsia" w:ascii="Calibri" w:hAnsi="Calibri" w:eastAsia="宋体" w:cs="Arial"/>
          <w:color w:val="000000"/>
          <w:sz w:val="15"/>
          <w:szCs w:val="15"/>
          <w:lang w:val="it-IT" w:bidi="ar-SA"/>
        </w:rPr>
        <w:endnoteRef/>
      </w:r>
      <w:r>
        <w:rPr>
          <w:rFonts w:hint="eastAsia" w:ascii="Calibri" w:hAnsi="Calibri" w:eastAsia="宋体" w:cs="Arial"/>
          <w:color w:val="000000"/>
          <w:sz w:val="15"/>
          <w:szCs w:val="15"/>
          <w:lang w:val="it-IT" w:bidi="ar-SA"/>
        </w:rPr>
        <w:t>] Maurizio Marini, Le veduta di Roma di Giovanni Battista Piranesi [M] Newton Compton editori s.r.l. 1989, 2006</w:t>
      </w:r>
    </w:p>
  </w:endnote>
  <w:endnote w:id="13">
    <w:p>
      <w:pPr>
        <w:adjustRightInd/>
        <w:snapToGrid/>
        <w:spacing w:line="240" w:lineRule="auto"/>
        <w:ind w:left="300" w:hanging="300" w:hangingChars="200"/>
        <w:rPr>
          <w:rFonts w:hint="eastAsia" w:ascii="Calibri" w:hAnsi="Calibri" w:cs="Arial"/>
          <w:color w:val="000000"/>
          <w:sz w:val="15"/>
          <w:szCs w:val="15"/>
          <w:lang w:val="it-IT" w:eastAsia="zh-CN" w:bidi="ar-SA"/>
        </w:rPr>
      </w:pPr>
      <w:r>
        <w:rPr>
          <w:rFonts w:hint="eastAsia" w:ascii="Calibri" w:hAnsi="Calibri" w:eastAsia="宋体" w:cs="Arial"/>
          <w:color w:val="000000"/>
          <w:sz w:val="15"/>
          <w:szCs w:val="15"/>
          <w:lang w:val="it-IT" w:eastAsia="zh-Hans" w:bidi="ar-SA"/>
        </w:rPr>
        <w:t>[</w:t>
      </w:r>
      <w:r>
        <w:rPr>
          <w:rFonts w:hint="eastAsia" w:ascii="Calibri" w:hAnsi="Calibri" w:eastAsia="宋体" w:cs="Arial"/>
          <w:color w:val="000000"/>
          <w:sz w:val="15"/>
          <w:szCs w:val="15"/>
          <w:lang w:val="it-IT" w:eastAsia="zh-Hans" w:bidi="ar-SA"/>
        </w:rPr>
        <w:endnoteRef/>
      </w:r>
      <w:r>
        <w:rPr>
          <w:rFonts w:hint="eastAsia" w:ascii="Calibri" w:hAnsi="Calibri" w:eastAsia="宋体" w:cs="Arial"/>
          <w:color w:val="000000"/>
          <w:sz w:val="15"/>
          <w:szCs w:val="15"/>
          <w:lang w:val="it-IT" w:eastAsia="zh-Hans" w:bidi="ar-SA"/>
        </w:rPr>
        <w:t>] Michael Hill, Practical and Symbolic Geo</w:t>
      </w:r>
      <w:r>
        <w:rPr>
          <w:rFonts w:hint="eastAsia" w:ascii="Calibri" w:hAnsi="Calibri" w:cs="Arial"/>
          <w:color w:val="000000"/>
          <w:sz w:val="15"/>
          <w:szCs w:val="15"/>
          <w:lang w:val="it-IT" w:eastAsia="zh-Hans" w:bidi="ar-SA"/>
        </w:rPr>
        <w:t>metry in Borromini’s San Carlo alle Quattro Fontane[J] Journal of the Society of Architectural Histo-rians, 2013</w:t>
      </w:r>
      <w:r>
        <w:rPr>
          <w:rFonts w:hint="eastAsia" w:ascii="Calibri" w:hAnsi="Calibri" w:eastAsia="宋体" w:cs="Arial"/>
          <w:color w:val="000000"/>
          <w:sz w:val="15"/>
          <w:szCs w:val="15"/>
          <w:lang w:val="it-IT" w:eastAsia="zh-CN" w:bidi="ar-SA"/>
        </w:rPr>
        <w:t>；</w:t>
      </w:r>
    </w:p>
  </w:endnote>
  <w:endnote w:id="14">
    <w:p>
      <w:pPr>
        <w:adjustRightInd/>
        <w:snapToGrid/>
        <w:spacing w:line="240" w:lineRule="auto"/>
        <w:ind w:left="300" w:hanging="300" w:hangingChars="200"/>
        <w:rPr>
          <w:rFonts w:hint="eastAsia" w:ascii="Calibri" w:hAnsi="Calibri" w:cs="Arial"/>
          <w:color w:val="000000"/>
          <w:sz w:val="15"/>
          <w:szCs w:val="15"/>
          <w:lang w:val="it-IT" w:eastAsia="zh-Hans" w:bidi="ar-SA"/>
        </w:rPr>
      </w:pPr>
      <w:r>
        <w:rPr>
          <w:rFonts w:hint="eastAsia" w:ascii="Calibri" w:hAnsi="Calibri" w:cs="Arial"/>
          <w:color w:val="000000"/>
          <w:sz w:val="15"/>
          <w:szCs w:val="15"/>
          <w:lang w:val="it-IT" w:eastAsia="zh-Hans" w:bidi="ar-SA"/>
        </w:rPr>
        <w:t>[</w:t>
      </w:r>
      <w:r>
        <w:rPr>
          <w:rFonts w:hint="eastAsia" w:ascii="Calibri" w:hAnsi="Calibri" w:cs="Arial"/>
          <w:color w:val="000000"/>
          <w:sz w:val="15"/>
          <w:szCs w:val="15"/>
          <w:lang w:val="it-IT" w:eastAsia="zh-Hans" w:bidi="ar-SA"/>
        </w:rPr>
        <w:endnoteRef/>
      </w:r>
      <w:r>
        <w:rPr>
          <w:rFonts w:hint="eastAsia" w:ascii="Calibri" w:hAnsi="Calibri" w:cs="Arial"/>
          <w:color w:val="000000"/>
          <w:sz w:val="15"/>
          <w:szCs w:val="15"/>
          <w:lang w:val="it-IT" w:eastAsia="zh-Hans" w:bidi="ar-SA"/>
        </w:rPr>
        <w:t>] Hetty E Joyce. Studies in the Renaissance Reception of Ancient Vault Decoration ［J］. Journal of Warburg and Courtauld Institutes. 2004</w:t>
      </w:r>
      <w:r>
        <w:rPr>
          <w:rFonts w:hint="eastAsia" w:ascii="Calibri" w:hAnsi="Calibri" w:cs="Arial"/>
          <w:color w:val="000000"/>
          <w:sz w:val="15"/>
          <w:szCs w:val="15"/>
          <w:lang w:val="it-IT" w:bidi="ar-SA"/>
        </w:rPr>
        <w:t>（</w:t>
      </w:r>
      <w:r>
        <w:rPr>
          <w:rFonts w:hint="eastAsia" w:ascii="Calibri" w:hAnsi="Calibri" w:cs="Arial"/>
          <w:color w:val="000000"/>
          <w:sz w:val="15"/>
          <w:szCs w:val="15"/>
          <w:lang w:val="it-IT" w:eastAsia="zh-Hans" w:bidi="ar-SA"/>
        </w:rPr>
        <w:t>67</w:t>
      </w:r>
      <w:r>
        <w:rPr>
          <w:rFonts w:hint="eastAsia" w:ascii="Calibri" w:hAnsi="Calibri" w:cs="Arial"/>
          <w:color w:val="000000"/>
          <w:sz w:val="15"/>
          <w:szCs w:val="15"/>
          <w:lang w:val="it-IT" w:bidi="ar-SA"/>
        </w:rPr>
        <w:t>）</w:t>
      </w:r>
      <w:r>
        <w:rPr>
          <w:rFonts w:hint="eastAsia" w:ascii="Calibri" w:hAnsi="Calibri" w:cs="Arial"/>
          <w:color w:val="000000"/>
          <w:sz w:val="15"/>
          <w:szCs w:val="15"/>
          <w:lang w:val="it-IT" w:eastAsia="zh-Hans" w:bidi="ar-SA"/>
        </w:rPr>
        <w:t>: 193-232.</w:t>
      </w:r>
    </w:p>
  </w:endnote>
  <w:endnote w:id="15">
    <w:p>
      <w:pPr>
        <w:adjustRightInd/>
        <w:snapToGrid/>
        <w:spacing w:line="240" w:lineRule="auto"/>
        <w:ind w:left="300" w:hanging="300" w:hangingChars="200"/>
        <w:rPr>
          <w:rFonts w:hint="eastAsia" w:ascii="Calibri" w:hAnsi="Calibri" w:cs="Arial"/>
          <w:color w:val="000000"/>
          <w:sz w:val="15"/>
          <w:szCs w:val="15"/>
          <w:lang w:val="it-IT" w:bidi="ar-SA"/>
        </w:rPr>
      </w:pPr>
      <w:r>
        <w:rPr>
          <w:rFonts w:hint="eastAsia" w:ascii="Calibri" w:hAnsi="Calibri" w:cs="Arial"/>
          <w:color w:val="000000"/>
          <w:sz w:val="15"/>
          <w:szCs w:val="15"/>
          <w:lang w:val="it-IT" w:bidi="ar-SA"/>
        </w:rPr>
        <w:t>[</w:t>
      </w:r>
      <w:r>
        <w:rPr>
          <w:rFonts w:hint="eastAsia" w:ascii="Calibri" w:hAnsi="Calibri" w:cs="Arial"/>
          <w:color w:val="000000"/>
          <w:sz w:val="15"/>
          <w:szCs w:val="15"/>
          <w:lang w:val="it-IT" w:bidi="ar-SA"/>
        </w:rPr>
        <w:endnoteRef/>
      </w:r>
      <w:r>
        <w:rPr>
          <w:rFonts w:hint="eastAsia" w:ascii="Calibri" w:hAnsi="Calibri" w:cs="Arial"/>
          <w:color w:val="000000"/>
          <w:sz w:val="15"/>
          <w:szCs w:val="15"/>
          <w:lang w:val="it-IT" w:bidi="ar-SA"/>
        </w:rPr>
        <w:t>] Leo Steinberg. San Carlo alle Quattro Fontane, A Study in Multiple Form and Architectural Symbolism[D]New York University, School of Arts and Science,PHD,1960</w:t>
      </w:r>
      <w:r>
        <w:rPr>
          <w:rFonts w:hint="eastAsia" w:ascii="Calibri" w:hAnsi="Calibri" w:eastAsia="宋体" w:cs="Arial"/>
          <w:color w:val="000000"/>
          <w:sz w:val="15"/>
          <w:szCs w:val="15"/>
          <w:lang w:val="it-IT" w:eastAsia="zh-CN" w:bidi="ar-SA"/>
        </w:rPr>
        <w:t>；</w:t>
      </w:r>
    </w:p>
  </w:endnote>
  <w:endnote w:id="16">
    <w:p>
      <w:pPr>
        <w:adjustRightInd/>
        <w:snapToGrid/>
        <w:spacing w:line="240" w:lineRule="auto"/>
        <w:ind w:left="300" w:hanging="300" w:hangingChars="200"/>
        <w:rPr>
          <w:rFonts w:hint="eastAsia" w:ascii="Calibri" w:hAnsi="Calibri" w:cs="Arial"/>
          <w:color w:val="000000"/>
          <w:sz w:val="15"/>
          <w:szCs w:val="15"/>
          <w:lang w:val="it-IT" w:eastAsia="zh-Hans" w:bidi="ar-SA"/>
        </w:rPr>
      </w:pPr>
      <w:r>
        <w:rPr>
          <w:rFonts w:hint="eastAsia" w:ascii="Calibri" w:hAnsi="Calibri" w:cs="Arial"/>
          <w:color w:val="000000"/>
          <w:sz w:val="15"/>
          <w:szCs w:val="15"/>
          <w:lang w:val="it-IT" w:eastAsia="zh-Hans" w:bidi="ar-SA"/>
        </w:rPr>
        <w:t>[</w:t>
      </w:r>
      <w:r>
        <w:rPr>
          <w:rFonts w:hint="eastAsia" w:ascii="Calibri" w:hAnsi="Calibri" w:cs="Arial"/>
          <w:color w:val="000000"/>
          <w:sz w:val="15"/>
          <w:szCs w:val="15"/>
          <w:lang w:val="it-IT" w:eastAsia="zh-Hans" w:bidi="ar-SA"/>
        </w:rPr>
        <w:endnoteRef/>
      </w:r>
      <w:r>
        <w:rPr>
          <w:rFonts w:hint="eastAsia" w:ascii="Calibri" w:hAnsi="Calibri" w:cs="Arial"/>
          <w:color w:val="000000"/>
          <w:sz w:val="15"/>
          <w:szCs w:val="15"/>
          <w:lang w:val="it-IT" w:eastAsia="zh-Hans" w:bidi="ar-SA"/>
        </w:rPr>
        <w:t xml:space="preserve">] </w:t>
      </w:r>
      <w:r>
        <w:rPr>
          <w:rFonts w:hint="eastAsia" w:ascii="Calibri" w:hAnsi="Calibri" w:cs="Arial"/>
          <w:color w:val="000000"/>
          <w:sz w:val="15"/>
          <w:szCs w:val="15"/>
          <w:lang w:val="it-IT" w:bidi="ar-SA"/>
        </w:rPr>
        <w:t>Winckelmann, J. Il bello nell’arte[M] Torino: Einaudi;1953, p. 61.</w:t>
      </w:r>
    </w:p>
  </w:endnote>
  <w:endnote w:id="17">
    <w:p>
      <w:pPr>
        <w:adjustRightInd/>
        <w:snapToGrid/>
        <w:spacing w:line="240" w:lineRule="auto"/>
        <w:ind w:left="300" w:hanging="300" w:hangingChars="200"/>
        <w:rPr>
          <w:rFonts w:hint="eastAsia" w:ascii="Calibri" w:hAnsi="Calibri" w:cs="Arial"/>
          <w:color w:val="000000"/>
          <w:sz w:val="15"/>
          <w:szCs w:val="15"/>
          <w:lang w:val="it-IT" w:eastAsia="zh-Hans" w:bidi="ar-SA"/>
        </w:rPr>
      </w:pPr>
      <w:r>
        <w:rPr>
          <w:rFonts w:hint="eastAsia" w:ascii="Calibri" w:hAnsi="Calibri" w:cs="Arial"/>
          <w:color w:val="000000"/>
          <w:sz w:val="15"/>
          <w:szCs w:val="15"/>
          <w:lang w:val="it-IT" w:eastAsia="zh-Hans" w:bidi="ar-SA"/>
        </w:rPr>
        <w:t>[</w:t>
      </w:r>
      <w:r>
        <w:rPr>
          <w:rFonts w:hint="eastAsia" w:ascii="Calibri" w:hAnsi="Calibri" w:cs="Arial"/>
          <w:color w:val="000000"/>
          <w:sz w:val="15"/>
          <w:szCs w:val="15"/>
          <w:lang w:val="it-IT" w:eastAsia="zh-Hans" w:bidi="ar-SA"/>
        </w:rPr>
        <w:endnoteRef/>
      </w:r>
      <w:r>
        <w:rPr>
          <w:rFonts w:hint="eastAsia" w:ascii="Calibri" w:hAnsi="Calibri" w:cs="Arial"/>
          <w:color w:val="000000"/>
          <w:sz w:val="15"/>
          <w:szCs w:val="15"/>
          <w:lang w:val="it-IT" w:eastAsia="zh-Hans" w:bidi="ar-SA"/>
        </w:rPr>
        <w:t>] Johnson, Kevin Orlin, In Ivonerm Explanations: The Meaning and Purpose of S. Ivo alla Sapienza, Artibus et Historiae, vol.3, 1982, P91</w:t>
      </w:r>
    </w:p>
  </w:endnote>
  <w:endnote w:id="18">
    <w:p>
      <w:pPr>
        <w:adjustRightInd/>
        <w:snapToGrid/>
        <w:spacing w:line="240" w:lineRule="auto"/>
        <w:ind w:left="300" w:hanging="300" w:hangingChars="200"/>
        <w:rPr>
          <w:rFonts w:hint="eastAsia" w:ascii="Calibri" w:hAnsi="Calibri" w:cs="Arial"/>
          <w:color w:val="000000"/>
          <w:sz w:val="15"/>
          <w:szCs w:val="15"/>
          <w:lang w:eastAsia="zh-CN" w:bidi="ar-SA"/>
        </w:rPr>
      </w:pPr>
      <w:r>
        <w:rPr>
          <w:rFonts w:hint="eastAsia" w:ascii="Calibri" w:hAnsi="Calibri" w:cs="Arial"/>
          <w:color w:val="000000"/>
          <w:sz w:val="15"/>
          <w:szCs w:val="15"/>
          <w:lang w:eastAsia="zh-Hans" w:bidi="ar-SA"/>
        </w:rPr>
        <w:t>[</w:t>
      </w:r>
      <w:r>
        <w:rPr>
          <w:rFonts w:hint="eastAsia" w:ascii="Calibri" w:hAnsi="Calibri" w:cs="Arial"/>
          <w:color w:val="000000"/>
          <w:sz w:val="15"/>
          <w:szCs w:val="15"/>
          <w:lang w:eastAsia="zh-Hans" w:bidi="ar-SA"/>
        </w:rPr>
        <w:endnoteRef/>
      </w:r>
      <w:r>
        <w:rPr>
          <w:rFonts w:hint="eastAsia" w:ascii="Calibri" w:hAnsi="Calibri" w:cs="Arial"/>
          <w:color w:val="000000"/>
          <w:sz w:val="15"/>
          <w:szCs w:val="15"/>
          <w:lang w:eastAsia="zh-Hans" w:bidi="ar-SA"/>
        </w:rPr>
        <w:t xml:space="preserve">] </w:t>
      </w:r>
      <w:r>
        <w:rPr>
          <w:rFonts w:hint="eastAsia" w:ascii="Calibri" w:hAnsi="Calibri" w:cs="Arial"/>
          <w:color w:val="000000"/>
          <w:sz w:val="15"/>
          <w:szCs w:val="15"/>
          <w:lang w:val="it-IT" w:eastAsia="zh-Hans" w:bidi="ar-SA"/>
        </w:rPr>
        <w:t>Julia M. Smyth-Pinney, Borromini’s Plans for Sant’Ivo alla Sapienza[J] University of California Press, 2016</w:t>
      </w:r>
      <w:r>
        <w:rPr>
          <w:rFonts w:hint="eastAsia" w:ascii="Calibri" w:hAnsi="Calibri" w:cs="Arial"/>
          <w:color w:val="000000"/>
          <w:sz w:val="15"/>
          <w:szCs w:val="15"/>
          <w:lang w:eastAsia="zh-Hans" w:bidi="ar-SA"/>
        </w:rPr>
        <w:t>.</w:t>
      </w:r>
    </w:p>
  </w:endnote>
  <w:endnote w:id="19">
    <w:p>
      <w:pPr>
        <w:adjustRightInd/>
        <w:snapToGrid/>
        <w:spacing w:line="240" w:lineRule="auto"/>
        <w:ind w:left="300" w:hanging="300" w:hangingChars="200"/>
        <w:rPr>
          <w:rFonts w:hint="eastAsia" w:ascii="Calibri" w:hAnsi="Calibri" w:eastAsia="宋体" w:cs="Arial"/>
          <w:color w:val="000000"/>
          <w:sz w:val="15"/>
          <w:szCs w:val="15"/>
          <w:lang w:eastAsia="zh-CN" w:bidi="ar-SA"/>
        </w:rPr>
      </w:pPr>
      <w:r>
        <w:rPr>
          <w:rFonts w:hint="eastAsia" w:ascii="Calibri" w:hAnsi="Calibri" w:eastAsia="宋体" w:cs="Arial"/>
          <w:color w:val="000000"/>
          <w:sz w:val="15"/>
          <w:szCs w:val="15"/>
          <w:lang w:eastAsia="zh-Hans" w:bidi="ar-SA"/>
        </w:rPr>
        <w:t>[</w:t>
      </w:r>
      <w:r>
        <w:rPr>
          <w:rFonts w:hint="eastAsia" w:ascii="Calibri" w:hAnsi="Calibri" w:eastAsia="宋体" w:cs="Arial"/>
          <w:color w:val="000000"/>
          <w:sz w:val="15"/>
          <w:szCs w:val="15"/>
          <w:lang w:eastAsia="zh-Hans" w:bidi="ar-SA"/>
        </w:rPr>
        <w:endnoteRef/>
      </w:r>
      <w:r>
        <w:rPr>
          <w:rFonts w:hint="eastAsia" w:ascii="Calibri" w:hAnsi="Calibri" w:eastAsia="宋体" w:cs="Arial"/>
          <w:color w:val="000000"/>
          <w:sz w:val="15"/>
          <w:szCs w:val="15"/>
          <w:lang w:eastAsia="zh-Hans" w:bidi="ar-SA"/>
        </w:rPr>
        <w:t>] Paolo Portoghesi, Bor-romini, Architettura come Linguaggio[M] Ugo Bozzi Editore, Rome, 1967</w:t>
      </w:r>
      <w:r>
        <w:rPr>
          <w:rFonts w:hint="eastAsia" w:ascii="Calibri" w:hAnsi="Calibri" w:eastAsia="宋体" w:cs="Arial"/>
          <w:color w:val="000000"/>
          <w:sz w:val="15"/>
          <w:szCs w:val="15"/>
          <w:lang w:eastAsia="zh-CN" w:bidi="ar-SA"/>
        </w:rPr>
        <w:t>；</w:t>
      </w:r>
    </w:p>
  </w:endnote>
  <w:endnote w:id="20">
    <w:p>
      <w:pPr>
        <w:adjustRightInd/>
        <w:snapToGrid/>
        <w:spacing w:line="240" w:lineRule="auto"/>
        <w:ind w:left="300" w:hanging="300" w:hangingChars="200"/>
        <w:rPr>
          <w:rFonts w:hint="eastAsia" w:ascii="Calibri" w:hAnsi="Calibri" w:cs="Arial"/>
          <w:color w:val="000000"/>
          <w:sz w:val="15"/>
          <w:szCs w:val="15"/>
          <w:lang w:eastAsia="zh-Hans" w:bidi="ar-SA"/>
        </w:rPr>
      </w:pPr>
      <w:r>
        <w:rPr>
          <w:rFonts w:hint="eastAsia" w:ascii="Calibri" w:hAnsi="Calibri" w:cs="Arial"/>
          <w:color w:val="000000"/>
          <w:sz w:val="15"/>
          <w:szCs w:val="15"/>
          <w:lang w:eastAsia="zh-Hans" w:bidi="ar-SA"/>
        </w:rPr>
        <w:t>[</w:t>
      </w:r>
      <w:r>
        <w:rPr>
          <w:rFonts w:hint="eastAsia" w:ascii="Calibri" w:hAnsi="Calibri" w:cs="Arial"/>
          <w:color w:val="000000"/>
          <w:sz w:val="15"/>
          <w:szCs w:val="15"/>
          <w:lang w:eastAsia="zh-Hans" w:bidi="ar-SA"/>
        </w:rPr>
        <w:endnoteRef/>
      </w:r>
      <w:r>
        <w:rPr>
          <w:rFonts w:hint="eastAsia" w:ascii="Calibri" w:hAnsi="Calibri" w:cs="Arial"/>
          <w:color w:val="000000"/>
          <w:sz w:val="15"/>
          <w:szCs w:val="15"/>
          <w:lang w:eastAsia="zh-Hans" w:bidi="ar-SA"/>
        </w:rPr>
        <w:t xml:space="preserve">] </w:t>
      </w:r>
      <w:r>
        <w:rPr>
          <w:rFonts w:hint="eastAsia" w:ascii="Calibri" w:hAnsi="Calibri" w:cs="Arial"/>
          <w:color w:val="000000"/>
          <w:sz w:val="15"/>
          <w:szCs w:val="15"/>
          <w:lang w:val="it-IT" w:eastAsia="zh-Hans" w:bidi="ar-SA"/>
        </w:rPr>
        <w:t>Dacarro F. A Comparison between Francesco Borromini's Architectural and Structural Design-Focusing on the Churches of San Carlo alle Quattro Fontane and Sant'Ivo alla Sapienza[J]. Korean Institute of Interior Design Journal, 2016, 25（5）: 82-92.</w:t>
      </w:r>
    </w:p>
  </w:endnote>
  <w:endnote w:id="21">
    <w:p>
      <w:pPr>
        <w:adjustRightInd/>
        <w:snapToGrid/>
        <w:spacing w:line="240" w:lineRule="auto"/>
        <w:ind w:left="300" w:hanging="300" w:hangingChars="200"/>
        <w:rPr>
          <w:rFonts w:hint="eastAsia" w:ascii="Calibri" w:hAnsi="Calibri" w:cs="Arial"/>
          <w:color w:val="000000"/>
          <w:sz w:val="15"/>
          <w:szCs w:val="15"/>
          <w:lang w:val="it-IT" w:eastAsia="zh-Hans" w:bidi="ar-SA"/>
        </w:rPr>
      </w:pPr>
      <w:r>
        <w:rPr>
          <w:rFonts w:hint="eastAsia" w:ascii="Calibri" w:hAnsi="Calibri" w:cs="Arial"/>
          <w:color w:val="000000"/>
          <w:sz w:val="15"/>
          <w:szCs w:val="15"/>
          <w:lang w:eastAsia="zh-Hans" w:bidi="ar-SA"/>
        </w:rPr>
        <w:t>[</w:t>
      </w:r>
      <w:r>
        <w:rPr>
          <w:rFonts w:hint="eastAsia" w:ascii="Calibri" w:hAnsi="Calibri" w:cs="Arial"/>
          <w:color w:val="000000"/>
          <w:sz w:val="15"/>
          <w:szCs w:val="15"/>
          <w:lang w:eastAsia="zh-Hans" w:bidi="ar-SA"/>
        </w:rPr>
        <w:endnoteRef/>
      </w:r>
      <w:r>
        <w:rPr>
          <w:rFonts w:hint="eastAsia" w:ascii="Calibri" w:hAnsi="Calibri" w:cs="Arial"/>
          <w:color w:val="000000"/>
          <w:sz w:val="15"/>
          <w:szCs w:val="15"/>
          <w:lang w:eastAsia="zh-Hans" w:bidi="ar-SA"/>
        </w:rPr>
        <w:t xml:space="preserve">] </w:t>
      </w:r>
      <w:r>
        <w:rPr>
          <w:rFonts w:hint="eastAsia" w:ascii="Calibri" w:hAnsi="Calibri" w:cs="Arial"/>
          <w:color w:val="000000"/>
          <w:sz w:val="15"/>
          <w:szCs w:val="15"/>
          <w:lang w:val="it-IT" w:eastAsia="zh-Hans" w:bidi="ar-SA"/>
        </w:rPr>
        <w:t>Smyth-Pinney J M. Borromini's Plans for Sant'Ivo alla Sapienza[J]. the Journal of the Society of Architectural Historians, 2000, 59（3）: 312-337.</w:t>
      </w:r>
    </w:p>
  </w:endnote>
  <w:endnote w:id="22">
    <w:p>
      <w:pPr>
        <w:snapToGrid/>
        <w:spacing w:line="240" w:lineRule="auto"/>
        <w:ind w:left="300" w:hanging="300" w:hangingChars="200"/>
        <w:rPr>
          <w:rFonts w:hint="eastAsia" w:ascii="Calibri" w:hAnsi="Calibri" w:eastAsia="宋体" w:cs="Arial"/>
          <w:color w:val="000000"/>
          <w:sz w:val="15"/>
          <w:szCs w:val="15"/>
          <w:lang w:val="it-IT" w:eastAsia="zh-Hans" w:bidi="ar-SA"/>
        </w:rPr>
      </w:pPr>
      <w:r>
        <w:rPr>
          <w:rFonts w:hint="eastAsia" w:ascii="Calibri" w:hAnsi="Calibri" w:eastAsia="宋体" w:cs="Arial"/>
          <w:color w:val="000000"/>
          <w:sz w:val="15"/>
          <w:szCs w:val="15"/>
          <w:lang w:val="it-IT" w:eastAsia="zh-Hans" w:bidi="ar-SA"/>
        </w:rPr>
        <w:t>[</w:t>
      </w:r>
      <w:r>
        <w:rPr>
          <w:rFonts w:hint="eastAsia" w:ascii="Calibri" w:hAnsi="Calibri" w:eastAsia="宋体" w:cs="Arial"/>
          <w:color w:val="000000"/>
          <w:sz w:val="15"/>
          <w:szCs w:val="15"/>
          <w:lang w:val="it-IT" w:eastAsia="zh-Hans" w:bidi="ar-SA"/>
        </w:rPr>
        <w:endnoteRef/>
      </w:r>
      <w:r>
        <w:rPr>
          <w:rFonts w:hint="eastAsia" w:ascii="Calibri" w:hAnsi="Calibri" w:eastAsia="宋体" w:cs="Arial"/>
          <w:color w:val="000000"/>
          <w:sz w:val="15"/>
          <w:szCs w:val="15"/>
          <w:lang w:val="it-IT" w:eastAsia="zh-Hans" w:bidi="ar-SA"/>
        </w:rPr>
        <w:t>] Wolfgang Lotz. Architecture in Italy 1500-1600 [M] the Estate of Wolfgang Lotz 1974; Deborah Howard, 1995;</w:t>
      </w:r>
    </w:p>
  </w:endnote>
  <w:endnote w:id="23">
    <w:p>
      <w:pPr>
        <w:adjustRightInd/>
        <w:snapToGrid/>
        <w:spacing w:line="240" w:lineRule="auto"/>
        <w:ind w:left="300" w:hanging="300" w:hangingChars="200"/>
        <w:rPr>
          <w:rFonts w:hint="eastAsia" w:ascii="Calibri" w:hAnsi="Calibri" w:cs="Arial"/>
          <w:color w:val="000000"/>
          <w:sz w:val="15"/>
          <w:szCs w:val="15"/>
          <w:lang w:eastAsia="zh-CN" w:bidi="ar-SA"/>
        </w:rPr>
      </w:pPr>
      <w:r>
        <w:rPr>
          <w:rFonts w:hint="eastAsia" w:ascii="Calibri" w:hAnsi="Calibri" w:cs="Arial"/>
          <w:color w:val="000000"/>
          <w:sz w:val="15"/>
          <w:szCs w:val="15"/>
          <w:lang w:eastAsia="zh-Hans" w:bidi="ar-SA"/>
        </w:rPr>
        <w:t>[</w:t>
      </w:r>
      <w:r>
        <w:rPr>
          <w:rFonts w:hint="eastAsia" w:ascii="Calibri" w:hAnsi="Calibri" w:cs="Arial"/>
          <w:color w:val="000000"/>
          <w:sz w:val="15"/>
          <w:szCs w:val="15"/>
          <w:lang w:eastAsia="zh-Hans" w:bidi="ar-SA"/>
        </w:rPr>
        <w:endnoteRef/>
      </w:r>
      <w:r>
        <w:rPr>
          <w:rFonts w:hint="eastAsia" w:ascii="Calibri" w:hAnsi="Calibri" w:cs="Arial"/>
          <w:color w:val="000000"/>
          <w:sz w:val="15"/>
          <w:szCs w:val="15"/>
          <w:lang w:eastAsia="zh-Hans" w:bidi="ar-SA"/>
        </w:rPr>
        <w:t xml:space="preserve">] </w:t>
      </w:r>
      <w:r>
        <w:rPr>
          <w:rFonts w:hint="eastAsia" w:ascii="Calibri" w:hAnsi="Calibri" w:cs="Arial"/>
          <w:color w:val="000000"/>
          <w:sz w:val="15"/>
          <w:szCs w:val="15"/>
          <w:lang w:val="it-IT" w:eastAsia="zh-Hans" w:bidi="ar-SA"/>
        </w:rPr>
        <w:t>Amelio Fara，Geometrie della fortificazione e architettura da Borromini a Guarini [M] Kunsthistorisches Institut in Florenz, Max-Planck-Institut,</w:t>
      </w:r>
      <w:r>
        <w:rPr>
          <w:rFonts w:hint="eastAsia" w:ascii="Calibri" w:hAnsi="Calibri" w:cs="Arial"/>
          <w:color w:val="000000"/>
          <w:sz w:val="15"/>
          <w:szCs w:val="15"/>
          <w:lang w:eastAsia="zh-Hans" w:bidi="ar-SA"/>
        </w:rPr>
        <w:t xml:space="preserve"> </w:t>
      </w:r>
      <w:r>
        <w:rPr>
          <w:rFonts w:hint="eastAsia" w:ascii="Calibri" w:hAnsi="Calibri" w:cs="Arial"/>
          <w:color w:val="000000"/>
          <w:sz w:val="15"/>
          <w:szCs w:val="15"/>
          <w:lang w:val="it-IT" w:eastAsia="zh-Hans" w:bidi="ar-SA"/>
        </w:rPr>
        <w:t>2016</w:t>
      </w:r>
      <w:r>
        <w:rPr>
          <w:rFonts w:hint="eastAsia" w:ascii="Calibri" w:hAnsi="Calibri" w:eastAsia="宋体" w:cs="Arial"/>
          <w:color w:val="000000"/>
          <w:sz w:val="15"/>
          <w:szCs w:val="15"/>
          <w:lang w:val="it-IT" w:eastAsia="zh-CN" w:bidi="ar-SA"/>
        </w:rPr>
        <w:t>；</w:t>
      </w:r>
    </w:p>
  </w:endnote>
  <w:endnote w:id="24">
    <w:p>
      <w:pPr>
        <w:adjustRightInd/>
        <w:snapToGrid/>
        <w:spacing w:line="240" w:lineRule="auto"/>
        <w:ind w:left="300" w:hanging="300" w:hangingChars="200"/>
        <w:rPr>
          <w:rFonts w:hint="eastAsia" w:ascii="Calibri" w:hAnsi="Calibri" w:cs="Arial"/>
          <w:color w:val="000000"/>
          <w:sz w:val="15"/>
          <w:szCs w:val="15"/>
          <w:lang w:eastAsia="zh-CN" w:bidi="ar-SA"/>
        </w:rPr>
      </w:pPr>
      <w:r>
        <w:rPr>
          <w:rFonts w:hint="eastAsia" w:ascii="Calibri" w:hAnsi="Calibri" w:cs="Arial"/>
          <w:color w:val="000000"/>
          <w:sz w:val="15"/>
          <w:szCs w:val="15"/>
          <w:lang w:eastAsia="zh-Hans" w:bidi="ar-SA"/>
        </w:rPr>
        <w:t>[</w:t>
      </w:r>
      <w:r>
        <w:rPr>
          <w:rFonts w:hint="eastAsia" w:ascii="Calibri" w:hAnsi="Calibri" w:cs="Arial"/>
          <w:color w:val="000000"/>
          <w:sz w:val="15"/>
          <w:szCs w:val="15"/>
          <w:lang w:eastAsia="zh-Hans" w:bidi="ar-SA"/>
        </w:rPr>
        <w:endnoteRef/>
      </w:r>
      <w:r>
        <w:rPr>
          <w:rFonts w:hint="eastAsia" w:ascii="Calibri" w:hAnsi="Calibri" w:cs="Arial"/>
          <w:color w:val="000000"/>
          <w:sz w:val="15"/>
          <w:szCs w:val="15"/>
          <w:lang w:eastAsia="zh-Hans" w:bidi="ar-SA"/>
        </w:rPr>
        <w:t xml:space="preserve">] </w:t>
      </w:r>
      <w:r>
        <w:rPr>
          <w:rFonts w:hint="eastAsia" w:ascii="Calibri" w:hAnsi="Calibri" w:cs="Arial"/>
          <w:color w:val="000000"/>
          <w:sz w:val="15"/>
          <w:szCs w:val="15"/>
          <w:lang w:val="it-IT" w:eastAsia="zh-Hans" w:bidi="ar-SA"/>
        </w:rPr>
        <w:t>F. Escrig. The Great Structures in Architecture: Antiquity to Baroque [M] WIT Press, 2006</w:t>
      </w:r>
      <w:r>
        <w:rPr>
          <w:rFonts w:hint="eastAsia" w:ascii="Calibri" w:hAnsi="Calibri" w:eastAsia="宋体" w:cs="Arial"/>
          <w:color w:val="000000"/>
          <w:sz w:val="15"/>
          <w:szCs w:val="15"/>
          <w:lang w:val="it-IT" w:eastAsia="zh-CN" w:bidi="ar-SA"/>
        </w:rPr>
        <w:t>；</w:t>
      </w:r>
    </w:p>
  </w:endnote>
  <w:endnote w:id="25">
    <w:p>
      <w:pPr>
        <w:adjustRightInd/>
        <w:snapToGrid/>
        <w:spacing w:line="240" w:lineRule="auto"/>
        <w:ind w:left="300" w:hanging="300" w:hangingChars="200"/>
        <w:rPr>
          <w:rFonts w:hint="eastAsia" w:ascii="Calibri" w:hAnsi="Calibri" w:cs="Arial"/>
          <w:color w:val="000000"/>
          <w:sz w:val="15"/>
          <w:szCs w:val="15"/>
          <w:lang w:eastAsia="zh-CN" w:bidi="ar-SA"/>
        </w:rPr>
      </w:pPr>
      <w:r>
        <w:rPr>
          <w:rFonts w:hint="eastAsia" w:ascii="Calibri" w:hAnsi="Calibri" w:cs="Arial"/>
          <w:color w:val="000000"/>
          <w:sz w:val="15"/>
          <w:szCs w:val="15"/>
          <w:lang w:eastAsia="zh-Hans" w:bidi="ar-SA"/>
        </w:rPr>
        <w:t>[</w:t>
      </w:r>
      <w:r>
        <w:rPr>
          <w:rFonts w:hint="eastAsia" w:ascii="Calibri" w:hAnsi="Calibri" w:cs="Arial"/>
          <w:color w:val="000000"/>
          <w:sz w:val="15"/>
          <w:szCs w:val="15"/>
          <w:lang w:eastAsia="zh-Hans" w:bidi="ar-SA"/>
        </w:rPr>
        <w:endnoteRef/>
      </w:r>
      <w:r>
        <w:rPr>
          <w:rFonts w:hint="eastAsia" w:ascii="Calibri" w:hAnsi="Calibri" w:cs="Arial"/>
          <w:color w:val="000000"/>
          <w:sz w:val="15"/>
          <w:szCs w:val="15"/>
          <w:lang w:eastAsia="zh-Hans" w:bidi="ar-SA"/>
        </w:rPr>
        <w:t xml:space="preserve">] </w:t>
      </w:r>
      <w:r>
        <w:rPr>
          <w:rFonts w:hint="eastAsia" w:ascii="Calibri" w:hAnsi="Calibri" w:cs="Arial"/>
          <w:color w:val="000000"/>
          <w:sz w:val="15"/>
          <w:szCs w:val="15"/>
          <w:lang w:val="it-IT" w:eastAsia="zh-Hans" w:bidi="ar-SA"/>
        </w:rPr>
        <w:t>诺尔格·舒尔茨. 存在·空间·建筑, 尹培桐译[M] 中国建筑工业出版社, 1990.06</w:t>
      </w:r>
      <w:r>
        <w:rPr>
          <w:rFonts w:hint="eastAsia" w:ascii="Calibri" w:hAnsi="Calibri" w:eastAsia="宋体" w:cs="Arial"/>
          <w:color w:val="000000"/>
          <w:sz w:val="15"/>
          <w:szCs w:val="15"/>
          <w:lang w:val="it-IT" w:eastAsia="zh-CN" w:bidi="ar-SA"/>
        </w:rPr>
        <w:t>；</w:t>
      </w:r>
    </w:p>
  </w:endnote>
  <w:endnote w:id="26">
    <w:p>
      <w:pPr>
        <w:adjustRightInd/>
        <w:snapToGrid/>
        <w:spacing w:line="240" w:lineRule="auto"/>
        <w:ind w:left="300" w:hanging="300" w:hangingChars="200"/>
        <w:rPr>
          <w:rFonts w:hint="eastAsia" w:ascii="Calibri" w:hAnsi="Calibri" w:cs="Arial"/>
          <w:color w:val="000000"/>
          <w:sz w:val="15"/>
          <w:szCs w:val="15"/>
          <w:lang w:val="it-IT" w:eastAsia="zh-Hans" w:bidi="ar-SA"/>
        </w:rPr>
      </w:pPr>
      <w:r>
        <w:rPr>
          <w:rFonts w:hint="eastAsia" w:ascii="Calibri" w:hAnsi="Calibri" w:cs="Arial"/>
          <w:color w:val="000000"/>
          <w:sz w:val="15"/>
          <w:szCs w:val="15"/>
          <w:lang w:val="it-IT" w:eastAsia="zh-Hans" w:bidi="ar-SA"/>
        </w:rPr>
        <w:t>[</w:t>
      </w:r>
      <w:r>
        <w:rPr>
          <w:rFonts w:hint="eastAsia" w:ascii="Calibri" w:hAnsi="Calibri" w:cs="Arial"/>
          <w:color w:val="000000"/>
          <w:sz w:val="15"/>
          <w:szCs w:val="15"/>
          <w:lang w:val="it-IT" w:eastAsia="zh-Hans" w:bidi="ar-SA"/>
        </w:rPr>
        <w:endnoteRef/>
      </w:r>
      <w:r>
        <w:rPr>
          <w:rFonts w:hint="eastAsia" w:ascii="Calibri" w:hAnsi="Calibri" w:cs="Arial"/>
          <w:color w:val="000000"/>
          <w:sz w:val="15"/>
          <w:szCs w:val="15"/>
          <w:lang w:val="it-IT" w:eastAsia="zh-Hans" w:bidi="ar-SA"/>
        </w:rPr>
        <w:t xml:space="preserve">] </w:t>
      </w:r>
      <w:r>
        <w:rPr>
          <w:rFonts w:hint="eastAsia" w:ascii="Calibri" w:hAnsi="Calibri" w:cs="Arial"/>
          <w:color w:val="000000"/>
          <w:sz w:val="15"/>
          <w:szCs w:val="15"/>
          <w:lang w:eastAsia="zh-Hans" w:bidi="ar-SA"/>
        </w:rPr>
        <w:t>Tafuri M. The sphere and the labyrinth[J]. Avant-Garde en Architecture from Piranesi to the 1970s, MIT, 1987.</w:t>
      </w:r>
    </w:p>
  </w:endnote>
  <w:endnote w:id="27">
    <w:p>
      <w:pPr>
        <w:adjustRightInd/>
        <w:snapToGrid/>
        <w:spacing w:line="240" w:lineRule="auto"/>
        <w:ind w:left="300" w:hanging="300" w:hangingChars="200"/>
        <w:rPr>
          <w:rFonts w:hint="eastAsia" w:ascii="Calibri" w:hAnsi="Calibri" w:eastAsia="宋体" w:cs="Arial"/>
          <w:color w:val="000000"/>
          <w:sz w:val="15"/>
          <w:szCs w:val="15"/>
          <w:lang w:val="it-IT" w:eastAsia="zh-Hans" w:bidi="ar-SA"/>
        </w:rPr>
      </w:pPr>
      <w:r>
        <w:rPr>
          <w:rFonts w:hint="eastAsia" w:ascii="Calibri" w:hAnsi="Calibri" w:eastAsia="宋体" w:cs="Arial"/>
          <w:color w:val="000000"/>
          <w:sz w:val="15"/>
          <w:szCs w:val="15"/>
          <w:lang w:eastAsia="zh-Hans" w:bidi="ar-SA"/>
        </w:rPr>
        <w:t>[</w:t>
      </w:r>
      <w:r>
        <w:rPr>
          <w:rFonts w:hint="eastAsia" w:ascii="Calibri" w:hAnsi="Calibri" w:eastAsia="宋体" w:cs="Arial"/>
          <w:color w:val="000000"/>
          <w:sz w:val="15"/>
          <w:szCs w:val="15"/>
          <w:lang w:val="it-IT" w:eastAsia="zh-Hans" w:bidi="ar-SA"/>
        </w:rPr>
        <w:endnoteRef/>
      </w:r>
      <w:r>
        <w:rPr>
          <w:rFonts w:hint="eastAsia" w:ascii="Calibri" w:hAnsi="Calibri" w:eastAsia="宋体" w:cs="Arial"/>
          <w:color w:val="000000"/>
          <w:sz w:val="15"/>
          <w:szCs w:val="15"/>
          <w:lang w:val="it-IT" w:eastAsia="zh-Hans" w:bidi="ar-SA"/>
        </w:rPr>
        <w:t>] Benjamin Chavardes, From Francesco Borromini to Paolo Portoghesi : the Sacra Familia church at Salerne [J] Livraisons de l'histoire de l'architecture, 27 | 2014, 21-31</w:t>
      </w:r>
    </w:p>
  </w:endnote>
  <w:endnote w:id="28">
    <w:p>
      <w:pPr>
        <w:adjustRightInd/>
        <w:snapToGrid/>
        <w:spacing w:line="240" w:lineRule="auto"/>
        <w:ind w:left="300" w:hanging="300" w:hangingChars="200"/>
        <w:rPr>
          <w:rFonts w:hint="eastAsia" w:ascii="Calibri" w:hAnsi="Calibri" w:eastAsia="宋体" w:cs="Arial"/>
          <w:b w:val="0"/>
          <w:bCs w:val="0"/>
          <w:color w:val="000000"/>
          <w:sz w:val="15"/>
          <w:szCs w:val="15"/>
          <w:lang w:val="it-IT" w:eastAsia="zh-Hans" w:bidi="ar-SA"/>
        </w:rPr>
      </w:pPr>
      <w:r>
        <w:rPr>
          <w:rFonts w:hint="eastAsia" w:ascii="Calibri" w:hAnsi="Calibri" w:eastAsia="宋体" w:cs="Arial"/>
          <w:color w:val="000000"/>
          <w:sz w:val="15"/>
          <w:szCs w:val="15"/>
          <w:lang w:val="it-IT" w:eastAsia="zh-Hans" w:bidi="ar-SA"/>
        </w:rPr>
        <w:t>[</w:t>
      </w:r>
      <w:r>
        <w:rPr>
          <w:rFonts w:hint="eastAsia" w:ascii="Calibri" w:hAnsi="Calibri" w:eastAsia="宋体" w:cs="Arial"/>
          <w:color w:val="000000"/>
          <w:sz w:val="15"/>
          <w:szCs w:val="15"/>
          <w:lang w:val="it-IT" w:eastAsia="zh-Hans" w:bidi="ar-SA"/>
        </w:rPr>
        <w:endnoteRef/>
      </w:r>
      <w:r>
        <w:rPr>
          <w:rFonts w:hint="eastAsia" w:ascii="Calibri" w:hAnsi="Calibri" w:eastAsia="宋体" w:cs="Arial"/>
          <w:color w:val="000000"/>
          <w:sz w:val="15"/>
          <w:szCs w:val="15"/>
          <w:lang w:val="it-IT" w:eastAsia="zh-Hans" w:bidi="ar-SA"/>
        </w:rPr>
        <w:t>] Mario Pisani, Dialogo con Paolo Portoghesi per comprendere l’architettura, Rome, Officina, 1969, p.18</w:t>
      </w:r>
    </w:p>
  </w:endnote>
  <w:endnote w:id="29">
    <w:p>
      <w:pPr>
        <w:snapToGrid/>
        <w:spacing w:line="240" w:lineRule="auto"/>
        <w:ind w:left="300" w:hanging="300" w:hangingChars="200"/>
        <w:rPr>
          <w:color w:val="0000FF"/>
        </w:rPr>
      </w:pPr>
      <w:r>
        <w:rPr>
          <w:rFonts w:hint="eastAsia" w:ascii="Calibri" w:hAnsi="Calibri" w:eastAsia="宋体" w:cs="Arial"/>
          <w:color w:val="0000FF"/>
          <w:sz w:val="15"/>
          <w:szCs w:val="15"/>
          <w:lang w:eastAsia="zh-Hans" w:bidi="ar-SA"/>
        </w:rPr>
        <w:t>[</w:t>
      </w:r>
      <w:r>
        <w:rPr>
          <w:rFonts w:hint="eastAsia" w:ascii="Calibri" w:hAnsi="Calibri" w:eastAsia="宋体" w:cs="Arial"/>
          <w:color w:val="0000FF"/>
          <w:sz w:val="15"/>
          <w:szCs w:val="15"/>
          <w:lang w:eastAsia="zh-Hans" w:bidi="ar-SA"/>
        </w:rPr>
        <w:endnoteRef/>
      </w:r>
      <w:r>
        <w:rPr>
          <w:rFonts w:hint="eastAsia" w:ascii="Calibri" w:hAnsi="Calibri" w:eastAsia="宋体" w:cs="Arial"/>
          <w:color w:val="0000FF"/>
          <w:sz w:val="15"/>
          <w:szCs w:val="15"/>
          <w:lang w:eastAsia="zh-Hans" w:bidi="ar-SA"/>
        </w:rPr>
        <w:t>] Eisenman P, Brillembourg C. Peter Eisenman[J]. BOMB, 2011 (117): 66-73.</w:t>
      </w:r>
    </w:p>
  </w:endnote>
  <w:endnote w:id="30">
    <w:p>
      <w:pPr>
        <w:widowControl/>
        <w:spacing w:line="240" w:lineRule="auto"/>
        <w:ind w:left="300" w:hanging="300" w:hangingChars="200"/>
        <w:jc w:val="left"/>
        <w:rPr>
          <w:color w:val="0000FF"/>
        </w:rPr>
      </w:pPr>
      <w:r>
        <w:rPr>
          <w:rFonts w:hint="eastAsia" w:ascii="Calibri" w:hAnsi="Calibri" w:eastAsia="宋体" w:cs="Arial"/>
          <w:color w:val="0000FF"/>
          <w:sz w:val="15"/>
          <w:szCs w:val="15"/>
          <w:lang w:val="it-IT" w:eastAsia="zh-Hans" w:bidi="ar-SA"/>
        </w:rPr>
        <w:t>[</w:t>
      </w:r>
      <w:r>
        <w:rPr>
          <w:rFonts w:hint="eastAsia" w:ascii="Calibri" w:hAnsi="Calibri" w:eastAsia="宋体" w:cs="Arial"/>
          <w:color w:val="0000FF"/>
          <w:sz w:val="15"/>
          <w:szCs w:val="15"/>
          <w:lang w:val="it-IT" w:eastAsia="zh-Hans" w:bidi="ar-SA"/>
        </w:rPr>
        <w:endnoteRef/>
      </w:r>
      <w:r>
        <w:rPr>
          <w:rFonts w:hint="eastAsia" w:ascii="Calibri" w:hAnsi="Calibri" w:eastAsia="宋体" w:cs="Arial"/>
          <w:color w:val="0000FF"/>
          <w:sz w:val="15"/>
          <w:szCs w:val="15"/>
          <w:lang w:val="it-IT" w:eastAsia="zh-Hans" w:bidi="ar-SA"/>
        </w:rPr>
        <w:t>]</w:t>
      </w:r>
      <w:r>
        <w:rPr>
          <w:rFonts w:hint="eastAsia" w:ascii="Calibri" w:hAnsi="Calibri" w:eastAsia="宋体" w:cs="Arial"/>
          <w:color w:val="0000FF"/>
          <w:sz w:val="15"/>
          <w:szCs w:val="15"/>
          <w:lang w:val="it-IT" w:eastAsia="zh-Hans" w:bidi="ar-SA"/>
        </w:rPr>
        <w:t xml:space="preserve"> </w:t>
      </w:r>
      <w:r>
        <w:rPr>
          <w:rFonts w:hint="eastAsia" w:ascii="Calibri" w:hAnsi="Calibri" w:eastAsia="宋体" w:cs="Arial"/>
          <w:i w:val="0"/>
          <w:iCs w:val="0"/>
          <w:caps w:val="0"/>
          <w:color w:val="0000FF"/>
          <w:spacing w:val="0"/>
          <w:kern w:val="2"/>
          <w:sz w:val="15"/>
          <w:szCs w:val="15"/>
          <w:shd w:val="clear"/>
          <w:lang w:val="it-IT" w:eastAsia="zh-Hans" w:bidi="ar-SA"/>
        </w:rPr>
        <w:t>Colonnese F. The thread of the virtual movement from Wölfflin to Lynn[J]. Dimensions. Journal of Architectural Knowledge, 2021, 1(2): 79-96.</w:t>
      </w:r>
    </w:p>
  </w:endnote>
  <w:endnote w:id="31">
    <w:p>
      <w:pPr>
        <w:keepNext w:val="0"/>
        <w:keepLines w:val="0"/>
        <w:widowControl/>
        <w:suppressLineNumbers w:val="0"/>
        <w:spacing w:line="240" w:lineRule="auto"/>
        <w:ind w:left="300" w:hanging="300" w:hangingChars="200"/>
        <w:jc w:val="left"/>
        <w:rPr>
          <w:rFonts w:hint="eastAsia" w:ascii="Calibri" w:hAnsi="Calibri" w:eastAsia="宋体" w:cs="Arial"/>
          <w:color w:val="0000FF"/>
          <w:sz w:val="15"/>
          <w:szCs w:val="15"/>
          <w:lang w:val="it-IT" w:eastAsia="zh-Hans" w:bidi="ar-SA"/>
        </w:rPr>
      </w:pPr>
      <w:r>
        <w:rPr>
          <w:rFonts w:hint="eastAsia" w:ascii="Calibri" w:hAnsi="Calibri" w:eastAsia="宋体" w:cs="Arial"/>
          <w:color w:val="0000FF"/>
          <w:sz w:val="15"/>
          <w:szCs w:val="15"/>
          <w:lang w:val="it-IT" w:eastAsia="zh-Hans" w:bidi="ar-SA"/>
        </w:rPr>
        <w:t>[</w:t>
      </w:r>
      <w:r>
        <w:rPr>
          <w:rFonts w:hint="eastAsia" w:ascii="Calibri" w:hAnsi="Calibri" w:eastAsia="宋体" w:cs="Arial"/>
          <w:color w:val="0000FF"/>
          <w:sz w:val="15"/>
          <w:szCs w:val="15"/>
          <w:lang w:val="it-IT" w:eastAsia="zh-Hans" w:bidi="ar-SA"/>
        </w:rPr>
        <w:endnoteRef/>
      </w:r>
      <w:r>
        <w:rPr>
          <w:rFonts w:hint="eastAsia" w:ascii="Calibri" w:hAnsi="Calibri" w:eastAsia="宋体" w:cs="Arial"/>
          <w:color w:val="0000FF"/>
          <w:sz w:val="15"/>
          <w:szCs w:val="15"/>
          <w:lang w:val="it-IT" w:eastAsia="zh-Hans" w:bidi="ar-SA"/>
        </w:rPr>
        <w:t>]</w:t>
      </w:r>
      <w:r>
        <w:rPr>
          <w:rFonts w:hint="eastAsia" w:ascii="Calibri" w:hAnsi="Calibri" w:eastAsia="宋体" w:cs="Arial"/>
          <w:color w:val="0000FF"/>
          <w:sz w:val="15"/>
          <w:szCs w:val="15"/>
          <w:lang w:val="it-IT" w:eastAsia="zh-Hans" w:bidi="ar-SA"/>
        </w:rPr>
        <w:t xml:space="preserve"> </w:t>
      </w:r>
      <w:r>
        <w:rPr>
          <w:rFonts w:hint="eastAsia" w:ascii="Calibri" w:hAnsi="Calibri" w:eastAsia="宋体" w:cs="Arial"/>
          <w:i w:val="0"/>
          <w:iCs w:val="0"/>
          <w:caps w:val="0"/>
          <w:color w:val="0000FF"/>
          <w:spacing w:val="0"/>
          <w:kern w:val="2"/>
          <w:sz w:val="15"/>
          <w:szCs w:val="15"/>
          <w:shd w:val="clear"/>
          <w:lang w:val="it-IT" w:eastAsia="zh-Hans" w:bidi="ar-SA"/>
        </w:rPr>
        <w:t>Giedion S. Space, time and architecture: the growth of a new tradition[M]. Harvard University Press, 2009.</w:t>
      </w:r>
    </w:p>
    <w:p>
      <w:pPr>
        <w:pStyle w:val="3"/>
        <w:rPr>
          <w:rFonts w:cs="Arial"/>
          <w:color w:val="000000"/>
          <w:sz w:val="15"/>
          <w:szCs w:val="15"/>
          <w:lang w:val="it-IT"/>
        </w:rPr>
      </w:pPr>
      <w:r>
        <w:rPr>
          <w:rFonts w:hint="eastAsia" w:ascii="黑体" w:hAnsi="黑体" w:eastAsia="黑体" w:cs="黑体"/>
          <w:sz w:val="18"/>
          <w:szCs w:val="18"/>
          <w:lang w:eastAsia="zh-Hans"/>
        </w:rPr>
        <w:t>第一作者信息</w:t>
      </w:r>
    </w:p>
    <w:p>
      <w:pPr>
        <w:tabs>
          <w:tab w:val="left" w:pos="312"/>
        </w:tabs>
        <w:adjustRightInd w:val="0"/>
        <w:snapToGrid w:val="0"/>
        <w:spacing w:line="240" w:lineRule="auto"/>
        <w:ind w:firstLine="0" w:firstLineChars="0"/>
        <w:rPr>
          <w:rFonts w:ascii="Calibri" w:hAnsi="Calibri" w:eastAsia="楷体_GB2312" w:cs="Times New Roman"/>
          <w:lang w:val="it-IT"/>
        </w:rPr>
      </w:pPr>
      <w:r>
        <w:rPr>
          <w:rFonts w:hint="eastAsia" w:ascii="Calibri" w:hAnsi="Calibri" w:eastAsia="楷体_GB2312" w:cs="Times New Roman"/>
        </w:rPr>
        <w:t>张昕楠</w:t>
      </w:r>
    </w:p>
    <w:p>
      <w:pPr>
        <w:tabs>
          <w:tab w:val="left" w:pos="312"/>
        </w:tabs>
        <w:adjustRightInd w:val="0"/>
        <w:snapToGrid w:val="0"/>
        <w:spacing w:line="240" w:lineRule="auto"/>
        <w:ind w:firstLine="0" w:firstLineChars="0"/>
        <w:rPr>
          <w:rFonts w:cs="Arial"/>
          <w:color w:val="000000"/>
          <w:sz w:val="15"/>
          <w:szCs w:val="15"/>
          <w:lang w:val="it-IT"/>
        </w:rPr>
      </w:pPr>
      <w:r>
        <w:rPr>
          <w:rFonts w:hint="eastAsia" w:cs="Arial"/>
          <w:color w:val="000000"/>
          <w:sz w:val="15"/>
          <w:szCs w:val="15"/>
        </w:rPr>
        <w:t>电子邮箱</w:t>
      </w:r>
      <w:r>
        <w:rPr>
          <w:rFonts w:hint="eastAsia" w:cs="Arial"/>
          <w:color w:val="000000"/>
          <w:sz w:val="15"/>
          <w:szCs w:val="15"/>
          <w:lang w:val="it-IT"/>
        </w:rPr>
        <w:t>：2</w:t>
      </w:r>
      <w:r>
        <w:fldChar w:fldCharType="begin"/>
      </w:r>
      <w:r>
        <w:instrText xml:space="preserve"> HYPERLINK "mailto:80379485@qq.com" </w:instrText>
      </w:r>
      <w:r>
        <w:fldChar w:fldCharType="separate"/>
      </w:r>
      <w:r>
        <w:rPr>
          <w:rStyle w:val="23"/>
          <w:rFonts w:hint="eastAsia" w:cs="Arial"/>
          <w:color w:val="000000"/>
          <w:sz w:val="15"/>
          <w:szCs w:val="15"/>
          <w:u w:val="none"/>
          <w:lang w:val="it-IT"/>
        </w:rPr>
        <w:t>80379485@qq.com</w:t>
      </w:r>
      <w:r>
        <w:rPr>
          <w:rStyle w:val="23"/>
          <w:rFonts w:hint="eastAsia" w:cs="Arial"/>
          <w:color w:val="000000"/>
          <w:sz w:val="15"/>
          <w:szCs w:val="15"/>
          <w:u w:val="none"/>
          <w:lang w:val="it-IT"/>
        </w:rPr>
        <w:fldChar w:fldCharType="end"/>
      </w:r>
    </w:p>
    <w:p>
      <w:pPr>
        <w:tabs>
          <w:tab w:val="left" w:pos="312"/>
        </w:tabs>
        <w:adjustRightInd w:val="0"/>
        <w:snapToGrid w:val="0"/>
        <w:spacing w:line="240" w:lineRule="auto"/>
        <w:ind w:firstLine="0" w:firstLineChars="0"/>
        <w:rPr>
          <w:rFonts w:cs="Arial"/>
          <w:color w:val="000000"/>
          <w:sz w:val="15"/>
          <w:szCs w:val="15"/>
        </w:rPr>
      </w:pPr>
      <w:r>
        <w:rPr>
          <w:rFonts w:hint="eastAsia" w:cs="Arial"/>
          <w:color w:val="000000"/>
          <w:sz w:val="15"/>
          <w:szCs w:val="15"/>
        </w:rPr>
        <w:t>天津大学建筑学院</w:t>
      </w:r>
    </w:p>
    <w:p>
      <w:pPr>
        <w:tabs>
          <w:tab w:val="left" w:pos="312"/>
        </w:tabs>
        <w:adjustRightInd w:val="0"/>
        <w:snapToGrid w:val="0"/>
        <w:spacing w:line="240" w:lineRule="auto"/>
        <w:ind w:firstLine="0" w:firstLineChars="0"/>
        <w:rPr>
          <w:rFonts w:cs="Arial"/>
          <w:color w:val="000000"/>
          <w:sz w:val="15"/>
          <w:szCs w:val="15"/>
          <w:lang w:eastAsia="zh-Hans"/>
        </w:rPr>
      </w:pPr>
      <w:r>
        <w:rPr>
          <w:rFonts w:hint="eastAsia" w:cs="Arial"/>
          <w:color w:val="000000"/>
          <w:sz w:val="15"/>
          <w:szCs w:val="15"/>
          <w:lang w:eastAsia="zh-Hans"/>
        </w:rPr>
        <w:t>通讯地址</w:t>
      </w:r>
      <w:r>
        <w:rPr>
          <w:rFonts w:cs="Arial"/>
          <w:color w:val="000000"/>
          <w:sz w:val="15"/>
          <w:szCs w:val="15"/>
          <w:lang w:eastAsia="zh-Hans"/>
        </w:rPr>
        <w:t>：</w:t>
      </w:r>
      <w:r>
        <w:rPr>
          <w:rFonts w:hint="eastAsia" w:cs="Arial"/>
          <w:color w:val="000000"/>
          <w:sz w:val="15"/>
          <w:szCs w:val="15"/>
          <w:lang w:eastAsia="zh-Hans"/>
        </w:rPr>
        <w:t>天津市南开区学府路天津大学</w:t>
      </w:r>
    </w:p>
    <w:p>
      <w:pPr>
        <w:tabs>
          <w:tab w:val="left" w:pos="312"/>
        </w:tabs>
        <w:adjustRightInd w:val="0"/>
        <w:snapToGrid w:val="0"/>
        <w:spacing w:line="240" w:lineRule="auto"/>
        <w:ind w:firstLine="0" w:firstLineChars="0"/>
        <w:rPr>
          <w:rFonts w:cs="Arial"/>
          <w:color w:val="000000"/>
          <w:sz w:val="15"/>
          <w:szCs w:val="15"/>
          <w:lang w:eastAsia="zh-Hans"/>
        </w:rPr>
      </w:pPr>
      <w:r>
        <w:rPr>
          <w:rFonts w:hint="eastAsia" w:cs="Arial"/>
          <w:color w:val="000000"/>
          <w:sz w:val="15"/>
          <w:szCs w:val="15"/>
          <w:lang w:eastAsia="zh-Hans"/>
        </w:rPr>
        <w:t>手机号码</w:t>
      </w:r>
      <w:r>
        <w:rPr>
          <w:rFonts w:cs="Arial"/>
          <w:color w:val="000000"/>
          <w:sz w:val="15"/>
          <w:szCs w:val="15"/>
          <w:lang w:eastAsia="zh-Hans"/>
        </w:rPr>
        <w:t>：15510818747</w:t>
      </w:r>
    </w:p>
    <w:p>
      <w:pPr>
        <w:tabs>
          <w:tab w:val="left" w:pos="312"/>
        </w:tabs>
        <w:adjustRightInd w:val="0"/>
        <w:snapToGrid w:val="0"/>
        <w:spacing w:line="240" w:lineRule="auto"/>
        <w:ind w:firstLine="0" w:firstLineChars="0"/>
        <w:rPr>
          <w:rFonts w:cs="Arial"/>
          <w:color w:val="000000"/>
          <w:sz w:val="15"/>
          <w:szCs w:val="15"/>
        </w:rPr>
      </w:pPr>
      <w:r>
        <w:rPr>
          <w:rFonts w:hint="eastAsia" w:cs="Arial"/>
          <w:color w:val="000000"/>
          <w:sz w:val="15"/>
          <w:szCs w:val="15"/>
          <w:lang w:eastAsia="zh-Hans"/>
        </w:rPr>
        <w:t>职务</w:t>
      </w:r>
      <w:r>
        <w:rPr>
          <w:rFonts w:cs="Arial"/>
          <w:color w:val="000000"/>
          <w:sz w:val="15"/>
          <w:szCs w:val="15"/>
          <w:lang w:eastAsia="zh-Hans"/>
        </w:rPr>
        <w:t>：</w:t>
      </w:r>
      <w:r>
        <w:rPr>
          <w:rFonts w:hint="eastAsia" w:cs="Arial"/>
          <w:color w:val="000000"/>
          <w:sz w:val="15"/>
          <w:szCs w:val="15"/>
        </w:rPr>
        <w:t>教授、副院长</w:t>
      </w:r>
    </w:p>
    <w:p>
      <w:pPr>
        <w:tabs>
          <w:tab w:val="left" w:pos="312"/>
        </w:tabs>
        <w:adjustRightInd w:val="0"/>
        <w:snapToGrid w:val="0"/>
        <w:spacing w:line="240" w:lineRule="auto"/>
        <w:ind w:firstLine="0" w:firstLineChars="0"/>
        <w:rPr>
          <w:rFonts w:cs="Arial"/>
          <w:color w:val="000000"/>
          <w:sz w:val="15"/>
          <w:szCs w:val="15"/>
        </w:rPr>
      </w:pPr>
    </w:p>
    <w:p>
      <w:pPr>
        <w:tabs>
          <w:tab w:val="left" w:pos="312"/>
        </w:tabs>
        <w:adjustRightInd w:val="0"/>
        <w:snapToGrid w:val="0"/>
        <w:spacing w:line="240" w:lineRule="auto"/>
        <w:ind w:firstLine="0" w:firstLineChars="0"/>
        <w:rPr>
          <w:rFonts w:ascii="黑体" w:hAnsi="黑体" w:eastAsia="黑体" w:cs="黑体"/>
          <w:b/>
          <w:sz w:val="18"/>
          <w:szCs w:val="18"/>
          <w:lang w:eastAsia="zh-Hans"/>
        </w:rPr>
      </w:pPr>
      <w:r>
        <w:rPr>
          <w:rFonts w:hint="eastAsia" w:ascii="黑体" w:hAnsi="黑体" w:eastAsia="黑体" w:cs="黑体"/>
          <w:b/>
          <w:sz w:val="18"/>
          <w:szCs w:val="18"/>
          <w:lang w:eastAsia="zh-Hans"/>
        </w:rPr>
        <w:t>通信作者信息</w:t>
      </w:r>
    </w:p>
    <w:p>
      <w:pPr>
        <w:tabs>
          <w:tab w:val="left" w:pos="312"/>
        </w:tabs>
        <w:adjustRightInd w:val="0"/>
        <w:snapToGrid w:val="0"/>
        <w:spacing w:line="240" w:lineRule="auto"/>
        <w:ind w:firstLine="0" w:firstLineChars="0"/>
        <w:rPr>
          <w:rFonts w:ascii="Calibri" w:hAnsi="Calibri" w:eastAsia="楷体_GB2312" w:cs="Times New Roman"/>
        </w:rPr>
      </w:pPr>
      <w:r>
        <w:rPr>
          <w:rFonts w:hint="eastAsia" w:ascii="Calibri" w:hAnsi="Calibri" w:eastAsia="楷体_GB2312" w:cs="Times New Roman"/>
        </w:rPr>
        <w:t>张涛</w:t>
      </w:r>
    </w:p>
    <w:p>
      <w:pPr>
        <w:tabs>
          <w:tab w:val="left" w:pos="312"/>
        </w:tabs>
        <w:adjustRightInd w:val="0"/>
        <w:snapToGrid w:val="0"/>
        <w:spacing w:line="240" w:lineRule="auto"/>
        <w:ind w:firstLine="0" w:firstLineChars="0"/>
        <w:rPr>
          <w:rFonts w:cs="Arial"/>
          <w:color w:val="000000"/>
          <w:sz w:val="15"/>
          <w:szCs w:val="15"/>
        </w:rPr>
      </w:pPr>
      <w:r>
        <w:rPr>
          <w:rFonts w:hint="eastAsia" w:cs="Arial"/>
          <w:color w:val="000000"/>
          <w:sz w:val="15"/>
          <w:szCs w:val="15"/>
        </w:rPr>
        <w:t>电子邮箱：704247036@qq.com</w:t>
      </w:r>
    </w:p>
    <w:p>
      <w:pPr>
        <w:tabs>
          <w:tab w:val="left" w:pos="312"/>
        </w:tabs>
        <w:adjustRightInd w:val="0"/>
        <w:snapToGrid w:val="0"/>
        <w:spacing w:line="240" w:lineRule="auto"/>
        <w:ind w:firstLine="0" w:firstLineChars="0"/>
        <w:rPr>
          <w:rFonts w:cs="Arial"/>
          <w:color w:val="000000"/>
          <w:sz w:val="15"/>
          <w:szCs w:val="15"/>
        </w:rPr>
      </w:pPr>
      <w:r>
        <w:rPr>
          <w:rFonts w:hint="eastAsia" w:cs="Arial"/>
          <w:color w:val="000000"/>
          <w:sz w:val="15"/>
          <w:szCs w:val="15"/>
        </w:rPr>
        <w:t>天津大学建筑设计研究院</w:t>
      </w:r>
    </w:p>
    <w:p>
      <w:pPr>
        <w:tabs>
          <w:tab w:val="left" w:pos="312"/>
        </w:tabs>
        <w:adjustRightInd w:val="0"/>
        <w:snapToGrid w:val="0"/>
        <w:spacing w:line="240" w:lineRule="auto"/>
        <w:ind w:firstLine="0" w:firstLineChars="0"/>
        <w:rPr>
          <w:rFonts w:cs="Arial"/>
          <w:color w:val="000000"/>
          <w:sz w:val="15"/>
          <w:szCs w:val="15"/>
        </w:rPr>
      </w:pPr>
      <w:r>
        <w:rPr>
          <w:rFonts w:hint="eastAsia" w:cs="Arial"/>
          <w:color w:val="000000"/>
          <w:sz w:val="15"/>
          <w:szCs w:val="15"/>
        </w:rPr>
        <w:t>通讯地址：天津市南开区鞍山西道1895创意大厦</w:t>
      </w:r>
    </w:p>
    <w:p>
      <w:pPr>
        <w:tabs>
          <w:tab w:val="left" w:pos="312"/>
        </w:tabs>
        <w:adjustRightInd w:val="0"/>
        <w:snapToGrid w:val="0"/>
        <w:spacing w:line="240" w:lineRule="auto"/>
        <w:ind w:firstLine="0" w:firstLineChars="0"/>
        <w:rPr>
          <w:rFonts w:cs="Arial"/>
          <w:color w:val="000000"/>
          <w:sz w:val="15"/>
          <w:szCs w:val="15"/>
        </w:rPr>
      </w:pPr>
      <w:r>
        <w:rPr>
          <w:rFonts w:hint="eastAsia" w:cs="Arial"/>
          <w:color w:val="000000"/>
          <w:sz w:val="15"/>
          <w:szCs w:val="15"/>
        </w:rPr>
        <w:t>手机号码：15822850834</w:t>
      </w:r>
    </w:p>
    <w:p>
      <w:pPr>
        <w:tabs>
          <w:tab w:val="left" w:pos="312"/>
        </w:tabs>
        <w:adjustRightInd w:val="0"/>
        <w:snapToGrid w:val="0"/>
        <w:spacing w:line="240" w:lineRule="auto"/>
        <w:ind w:firstLine="0" w:firstLineChars="0"/>
        <w:rPr>
          <w:rFonts w:cs="Arial"/>
          <w:color w:val="000000"/>
          <w:sz w:val="15"/>
          <w:szCs w:val="15"/>
        </w:rPr>
      </w:pPr>
      <w:r>
        <w:rPr>
          <w:rFonts w:hint="eastAsia" w:cs="Arial"/>
          <w:color w:val="000000"/>
          <w:sz w:val="15"/>
          <w:szCs w:val="15"/>
        </w:rPr>
        <w:t>职称：中级工程师</w:t>
      </w:r>
    </w:p>
    <w:p>
      <w:pPr>
        <w:tabs>
          <w:tab w:val="left" w:pos="312"/>
        </w:tabs>
        <w:adjustRightInd w:val="0"/>
        <w:spacing w:line="240" w:lineRule="auto"/>
        <w:ind w:firstLine="0" w:firstLineChars="0"/>
        <w:rPr>
          <w:rFonts w:ascii="Times New Roman Bold" w:hAnsi="Times New Roman Bold" w:cs="Times New Roman Bold"/>
          <w:b/>
          <w:bCs/>
        </w:rPr>
      </w:pPr>
      <w:r>
        <w:rPr>
          <w:rFonts w:hint="eastAsia" w:cs="Arial"/>
          <w:color w:val="000000"/>
          <w:sz w:val="15"/>
          <w:szCs w:val="15"/>
        </w:rPr>
        <w:t>研究方向：建筑设计</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SimSong">
    <w:panose1 w:val="02020300000000000000"/>
    <w:charset w:val="86"/>
    <w:family w:val="auto"/>
    <w:pitch w:val="default"/>
    <w:sig w:usb0="800002BF" w:usb1="38CF7CFA" w:usb2="00000016" w:usb3="00000000" w:csb0="0004000D" w:csb1="00000000"/>
  </w:font>
  <w:font w:name="Songti SC">
    <w:panose1 w:val="02010800040101010101"/>
    <w:charset w:val="86"/>
    <w:family w:val="auto"/>
    <w:pitch w:val="default"/>
    <w:sig w:usb0="00000001" w:usb1="080F0000" w:usb2="00000000" w:usb3="00000000" w:csb0="00040000" w:csb1="00000000"/>
  </w:font>
  <w:font w:name="Helvetica">
    <w:panose1 w:val="00000000000000000000"/>
    <w:charset w:val="00"/>
    <w:family w:val="auto"/>
    <w:pitch w:val="default"/>
    <w:sig w:usb0="E00002FF" w:usb1="5000785B" w:usb2="00000000" w:usb3="00000000" w:csb0="2000019F" w:csb1="4F010000"/>
  </w:font>
  <w:font w:name="Times New Roman Bold">
    <w:panose1 w:val="02020503050405090304"/>
    <w:charset w:val="00"/>
    <w:family w:val="auto"/>
    <w:pitch w:val="default"/>
    <w:sig w:usb0="E0000AFF" w:usb1="00007843" w:usb2="00000001" w:usb3="00000000" w:csb0="400001BF" w:csb1="DFF70000"/>
  </w:font>
  <w:font w:name="楷体_GB2312">
    <w:altName w:val="汉仪楷体简"/>
    <w:panose1 w:val="020B0604020202020204"/>
    <w:charset w:val="00"/>
    <w:family w:val="modern"/>
    <w:pitch w:val="default"/>
    <w:sig w:usb0="00000000" w:usb1="00000000" w:usb2="00000010" w:usb3="00000000" w:csb0="00040000" w:csb1="00000000"/>
  </w:font>
  <w:font w:name="Songti SC Bold">
    <w:panose1 w:val="02010800040101010101"/>
    <w:charset w:val="86"/>
    <w:family w:val="auto"/>
    <w:pitch w:val="default"/>
    <w:sig w:usb0="00000001" w:usb1="080F0000" w:usb2="00000000" w:usb3="00000000" w:csb0="00040000"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宋体-简">
    <w:panose1 w:val="02010800040101010101"/>
    <w:charset w:val="86"/>
    <w:family w:val="auto"/>
    <w:pitch w:val="default"/>
    <w:sig w:usb0="00000001" w:usb1="080F0000" w:usb2="00000000" w:usb3="00000000" w:csb0="00040000" w:csb1="00000000"/>
  </w:font>
  <w:font w:name="PingFang SC">
    <w:panose1 w:val="020B0400000000000000"/>
    <w:charset w:val="86"/>
    <w:family w:val="auto"/>
    <w:pitch w:val="default"/>
    <w:sig w:usb0="A00002FF" w:usb1="7ACFFDFB" w:usb2="00000017" w:usb3="00000000" w:csb0="00040001" w:csb1="00000000"/>
  </w:font>
  <w:font w:name="Tahoma">
    <w:panose1 w:val="020B0604030504040204"/>
    <w:charset w:val="00"/>
    <w:family w:val="auto"/>
    <w:pitch w:val="default"/>
    <w:sig w:usb0="E1002AFF" w:usb1="C000605B" w:usb2="00000029" w:usb3="00000000" w:csb0="200101FF" w:csb1="2028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 w:name="汉仪楷体简">
    <w:panose1 w:val="02010600000101010101"/>
    <w:charset w:val="86"/>
    <w:family w:val="auto"/>
    <w:pitch w:val="default"/>
    <w:sig w:usb0="00000001" w:usb1="080E0800" w:usb2="00000002" w:usb3="00000000" w:csb0="00040000" w:csb1="00000000"/>
  </w:font>
  <w:font w:name=".applesystemuifont">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A00002FF" w:usb1="7ACFFDFB" w:usb2="00000017" w:usb3="00000000" w:csb0="00040001" w:csb1="00000000"/>
  </w:font>
  <w:font w:name="Arial">
    <w:panose1 w:val="020B0604020202090204"/>
    <w:charset w:val="00"/>
    <w:family w:val="auto"/>
    <w:pitch w:val="default"/>
    <w:sig w:usb0="E0000AFF" w:usb1="00007843" w:usb2="00000001" w:usb3="00000000" w:csb0="400001BF" w:csb1="DFF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4">
    <w:p>
      <w:pPr>
        <w:spacing w:line="360" w:lineRule="auto"/>
        <w:ind w:firstLine="420"/>
      </w:pPr>
    </w:p>
  </w:footnote>
  <w:footnote w:type="continuationSeparator" w:id="15">
    <w:p>
      <w:pPr>
        <w:spacing w:line="360" w:lineRule="auto"/>
        <w:ind w:firstLine="420"/>
      </w:pPr>
    </w:p>
  </w:footnote>
  <w:footnote w:id="0">
    <w:p>
      <w:pPr>
        <w:pStyle w:val="14"/>
      </w:pPr>
      <w:r>
        <w:rPr>
          <w:rStyle w:val="25"/>
        </w:rPr>
        <w:footnoteRef/>
      </w:r>
      <w:r>
        <w:t xml:space="preserve"> </w:t>
      </w:r>
      <w:r>
        <w:rPr>
          <w:rFonts w:hint="eastAsia"/>
        </w:rPr>
        <w:t>博罗</w:t>
      </w:r>
      <w:r>
        <w:rPr>
          <w:lang w:eastAsia="zh-Hans"/>
        </w:rPr>
        <w:t>米尼出生于比松的一个石匠家庭</w:t>
      </w:r>
      <w:r>
        <w:rPr>
          <w:rFonts w:hint="eastAsia"/>
        </w:rPr>
        <w:t>，</w:t>
      </w:r>
      <w:r>
        <w:rPr>
          <w:lang w:eastAsia="zh-Hans"/>
        </w:rPr>
        <w:t>早年遵循家乡从事石工艺术的传统，前往米兰接受建筑与雕塑技艺</w:t>
      </w:r>
      <w:r>
        <w:rPr>
          <w:rFonts w:hint="eastAsia"/>
        </w:rPr>
        <w:t>方面</w:t>
      </w:r>
      <w:r>
        <w:rPr>
          <w:lang w:eastAsia="zh-Hans"/>
        </w:rPr>
        <w:t>的培训。</w:t>
      </w:r>
      <w:r>
        <w:rPr>
          <w:rFonts w:hint="eastAsia"/>
        </w:rPr>
        <w:t>他于二十岁前往罗马，进入卡洛·马代尔诺（Carlo Maderno, 1556—1629）的工作室，研究罗马古典建筑的几何与结构美学及米开朗基罗等大师作品，并在圣彼得青铜华盖和巴贝里尼宫立面等雕塑与装饰设计项目中积累了丰富的实践经验。1634年，在接手四泉圣卡洛教堂的委托设计后，博罗米尼迎来了作为独立建筑师生涯的转折点。</w:t>
      </w:r>
    </w:p>
  </w:footnote>
  <w:footnote w:id="1">
    <w:p>
      <w:pPr>
        <w:pStyle w:val="14"/>
      </w:pPr>
      <w:r>
        <w:rPr>
          <w:rStyle w:val="25"/>
        </w:rPr>
        <w:footnoteRef/>
      </w:r>
      <w:r>
        <w:t xml:space="preserve"> </w:t>
      </w:r>
      <w:r>
        <w:rPr>
          <w:rFonts w:hint="eastAsia"/>
        </w:rPr>
        <w:t>博罗</w:t>
      </w:r>
      <w:r>
        <w:rPr>
          <w:lang w:eastAsia="zh-Hans"/>
        </w:rPr>
        <w:t>米尼</w:t>
      </w:r>
      <w:r>
        <w:rPr>
          <w:rFonts w:hint="eastAsia"/>
        </w:rPr>
        <w:t>自1619年抵达罗马后几乎未曾离开，他在罗马以外的作品仅限于少数礼拜堂。为应对异地的设计与施工需求，他通常绘制图纸并派遣工人到现场施工，或远程完成构件后再将其拆卸运输至现场重新组装。</w:t>
      </w:r>
    </w:p>
  </w:footnote>
  <w:footnote w:id="2">
    <w:p>
      <w:pPr>
        <w:pStyle w:val="14"/>
      </w:pPr>
      <w:r>
        <w:rPr>
          <w:rStyle w:val="25"/>
        </w:rPr>
        <w:footnoteRef/>
      </w:r>
      <w:r>
        <w:t xml:space="preserve"> </w:t>
      </w:r>
      <w:r>
        <w:rPr>
          <w:rFonts w:hint="eastAsia"/>
        </w:rPr>
        <w:t>由于资金不足，圣卡洛教堂立面的建设被长期搁置，直至1665年才重新启动。博罗米尼在1667年去世时，立面仅完成了首层，二层的设计也未留下完整图纸。其外甥Barnardo接手了立面项目，最终将圣卡洛教堂的立面建设延续至1682年才得以完工。</w:t>
      </w:r>
    </w:p>
  </w:footnote>
  <w:footnote w:id="3">
    <w:p>
      <w:pPr>
        <w:pStyle w:val="14"/>
        <w:rPr>
          <w:rFonts w:hint="eastAsia"/>
        </w:rPr>
      </w:pPr>
      <w:r>
        <w:rPr>
          <w:rStyle w:val="25"/>
        </w:rPr>
        <w:footnoteRef/>
      </w:r>
      <w:r>
        <w:t xml:space="preserve"> </w:t>
      </w:r>
      <w:r>
        <w:rPr>
          <w:rFonts w:hint="eastAsia"/>
        </w:rPr>
        <w:t>达芬奇、米开朗基罗多使用红粉笔和墨水笔进行创作，而博罗米尼考虑到铅笔的细致表现力和可擦除性具有优势，则使用铅笔这一较新的工具。</w:t>
      </w:r>
    </w:p>
  </w:footnote>
  <w:footnote w:id="4">
    <w:p>
      <w:pPr>
        <w:pStyle w:val="14"/>
        <w:rPr>
          <w:rFonts w:hint="eastAsia"/>
          <w:lang w:val="en-US" w:eastAsia="zh-CN"/>
        </w:rPr>
      </w:pPr>
      <w:r>
        <w:rPr>
          <w:rFonts w:hint="eastAsia"/>
        </w:rPr>
        <w:footnoteRef/>
      </w:r>
      <w:r>
        <w:rPr>
          <w:rFonts w:hint="eastAsia"/>
        </w:rPr>
        <w:t xml:space="preserve"> </w:t>
      </w:r>
      <w:r>
        <w:rPr>
          <w:rFonts w:hint="eastAsia"/>
        </w:rPr>
        <w:t>汉斯·塞德迈尔（Hans Sedlmayer）、保罗·波托盖希（Paolo Portoghesi）和朱莉亚·史密斯-皮尼（Julia Smyth-Pinney）等学者对圣卡洛教堂平面的研究提供了重要的学术贡献。塞德迈尔以其对欧洲艺术演变的深刻分析和巴洛克建筑的独到见解而闻名，是20世纪最具影响力的艺术史学家之一；史密斯-皮尼则通过细致的文本分析，对博罗米尼建筑中的几何逻辑及其空间秩序提出了重要解读。这些研究彰显了博罗米尼设计的学术价值和几何创新的深远影响。</w:t>
      </w:r>
    </w:p>
  </w:footnote>
  <w:footnote w:id="5">
    <w:p>
      <w:pPr>
        <w:pStyle w:val="14"/>
        <w:snapToGrid w:val="0"/>
        <w:rPr>
          <w:color w:val="0000FF"/>
        </w:rPr>
      </w:pPr>
      <w:r>
        <w:rPr>
          <w:rStyle w:val="25"/>
          <w:color w:val="0000FF"/>
        </w:rPr>
        <w:footnoteRef/>
      </w:r>
      <w:r>
        <w:rPr>
          <w:color w:val="0000FF"/>
        </w:rPr>
        <w:t xml:space="preserve"> </w:t>
      </w:r>
      <w:r>
        <w:rPr>
          <w:rFonts w:hint="eastAsia"/>
          <w:color w:val="0000FF"/>
        </w:rPr>
        <w:t>Cameron Wu</w:t>
      </w:r>
      <w:r>
        <w:rPr>
          <w:rFonts w:hint="eastAsia"/>
          <w:color w:val="0000FF"/>
          <w:lang w:eastAsia="zh-CN"/>
        </w:rPr>
        <w:t>，</w:t>
      </w:r>
      <w:r>
        <w:rPr>
          <w:rFonts w:hint="eastAsia"/>
          <w:color w:val="0000FF"/>
        </w:rPr>
        <w:t>Associate Professor of Architecture，Harvard University</w:t>
      </w:r>
    </w:p>
  </w:footnote>
  <w:footnote w:id="6">
    <w:p>
      <w:pPr>
        <w:pStyle w:val="14"/>
        <w:snapToGrid w:val="0"/>
        <w:rPr>
          <w:rFonts w:hint="eastAsia" w:eastAsiaTheme="minorEastAsia"/>
          <w:color w:val="0000FF"/>
          <w:lang w:val="en-US" w:eastAsia="zh-CN"/>
        </w:rPr>
      </w:pPr>
      <w:r>
        <w:rPr>
          <w:rStyle w:val="25"/>
          <w:color w:val="0000FF"/>
        </w:rPr>
        <w:footnoteRef/>
      </w:r>
      <w:r>
        <w:rPr>
          <w:color w:val="0000FF"/>
        </w:rPr>
        <w:t xml:space="preserve"> </w:t>
      </w:r>
      <w:r>
        <w:rPr>
          <w:rFonts w:hint="eastAsia"/>
          <w:color w:val="0000FF"/>
          <w:lang w:val="en-US" w:eastAsia="zh-CN"/>
        </w:rPr>
        <w:t>根据 Cameron Wu以参数化设计对圣卡洛教堂的平面复现以及延伸等作品分析，来源：https://cameronwu.com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3D43AF"/>
    <w:multiLevelType w:val="singleLevel"/>
    <w:tmpl w:val="8A3D43AF"/>
    <w:lvl w:ilvl="0" w:tentative="0">
      <w:start w:val="1"/>
      <w:numFmt w:val="decimal"/>
      <w:pStyle w:val="31"/>
      <w:lvlText w:val="[%1]"/>
      <w:lvlJc w:val="left"/>
      <w:pPr>
        <w:tabs>
          <w:tab w:val="left" w:pos="312"/>
        </w:tabs>
        <w:ind w:left="0"/>
      </w:pPr>
      <w:rPr>
        <w:rFonts w:hint="default"/>
      </w:rPr>
    </w:lvl>
  </w:abstractNum>
  <w:abstractNum w:abstractNumId="1">
    <w:nsid w:val="0FFF63EA"/>
    <w:multiLevelType w:val="singleLevel"/>
    <w:tmpl w:val="0FFF63EA"/>
    <w:lvl w:ilvl="0" w:tentative="0">
      <w:start w:val="1"/>
      <w:numFmt w:val="chineseCounting"/>
      <w:suff w:val="space"/>
      <w:lvlText w:val="%1."/>
      <w:lvlJc w:val="left"/>
      <w:pPr>
        <w:tabs>
          <w:tab w:val="left" w:pos="0"/>
        </w:tabs>
      </w:pPr>
      <w:rPr>
        <w:rFonts w:hint="eastAsia"/>
      </w:rPr>
    </w:lvl>
  </w:abstractNum>
  <w:abstractNum w:abstractNumId="2">
    <w:nsid w:val="52B463DC"/>
    <w:multiLevelType w:val="singleLevel"/>
    <w:tmpl w:val="52B463DC"/>
    <w:lvl w:ilvl="0" w:tentative="0">
      <w:start w:val="1"/>
      <w:numFmt w:val="decimal"/>
      <w:suff w:val="space"/>
      <w:lvlText w:val="%1."/>
      <w:lvlJc w:val="left"/>
      <w:pPr>
        <w:ind w:left="454" w:hanging="454"/>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6"/>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14"/>
    <w:footnote w:id="15"/>
  </w:footnotePr>
  <w:endnotePr>
    <w:numFmt w:val="decimal"/>
    <w:endnote w:id="64"/>
    <w:endnote w:id="65"/>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FjYTA3MjY5N2U2NTZlZmMxZTRjNmRlZGMwYWVhNzQifQ=="/>
    <w:docVar w:name="KSO_WPS_MARK_KEY" w:val="e38b4787-4bb2-4258-b1e5-2407872d09f0"/>
  </w:docVars>
  <w:rsids>
    <w:rsidRoot w:val="7DB59842"/>
    <w:rsid w:val="0006314C"/>
    <w:rsid w:val="00204C85"/>
    <w:rsid w:val="002E53B8"/>
    <w:rsid w:val="00305909"/>
    <w:rsid w:val="00437AC4"/>
    <w:rsid w:val="00491B26"/>
    <w:rsid w:val="004C3AED"/>
    <w:rsid w:val="00575089"/>
    <w:rsid w:val="00655CCB"/>
    <w:rsid w:val="0068387F"/>
    <w:rsid w:val="0075130E"/>
    <w:rsid w:val="007C4E5E"/>
    <w:rsid w:val="00954912"/>
    <w:rsid w:val="00962908"/>
    <w:rsid w:val="00AA256C"/>
    <w:rsid w:val="00BF1D90"/>
    <w:rsid w:val="00C554FF"/>
    <w:rsid w:val="00C97B48"/>
    <w:rsid w:val="00D52ACC"/>
    <w:rsid w:val="00D535B6"/>
    <w:rsid w:val="00D61D48"/>
    <w:rsid w:val="00F0681D"/>
    <w:rsid w:val="00FE0BEC"/>
    <w:rsid w:val="010B6467"/>
    <w:rsid w:val="05FBAFF9"/>
    <w:rsid w:val="06F67E80"/>
    <w:rsid w:val="06FC9DD1"/>
    <w:rsid w:val="071DAFD2"/>
    <w:rsid w:val="07F4D200"/>
    <w:rsid w:val="09BBA6BA"/>
    <w:rsid w:val="0ABFE516"/>
    <w:rsid w:val="0AFD8F9B"/>
    <w:rsid w:val="0D54FECC"/>
    <w:rsid w:val="0DFB4579"/>
    <w:rsid w:val="0EBFA38F"/>
    <w:rsid w:val="0EF906FA"/>
    <w:rsid w:val="0F3B7652"/>
    <w:rsid w:val="0F3D476C"/>
    <w:rsid w:val="0F7BBC38"/>
    <w:rsid w:val="0F7F85BC"/>
    <w:rsid w:val="0F9D7A8A"/>
    <w:rsid w:val="0FA63B7B"/>
    <w:rsid w:val="0FBDCC65"/>
    <w:rsid w:val="0FD7EA34"/>
    <w:rsid w:val="0FFBFC60"/>
    <w:rsid w:val="0FFFE627"/>
    <w:rsid w:val="136517C7"/>
    <w:rsid w:val="13B7D7ED"/>
    <w:rsid w:val="13BFA1C3"/>
    <w:rsid w:val="1431FA3A"/>
    <w:rsid w:val="14DDAD6A"/>
    <w:rsid w:val="15691171"/>
    <w:rsid w:val="157BEC04"/>
    <w:rsid w:val="15D5D478"/>
    <w:rsid w:val="15F59FEB"/>
    <w:rsid w:val="16EC874A"/>
    <w:rsid w:val="17610884"/>
    <w:rsid w:val="176DCAEF"/>
    <w:rsid w:val="176F0F6E"/>
    <w:rsid w:val="177FA540"/>
    <w:rsid w:val="178E392E"/>
    <w:rsid w:val="179929F3"/>
    <w:rsid w:val="17BF6761"/>
    <w:rsid w:val="17BF83CD"/>
    <w:rsid w:val="17DF08A7"/>
    <w:rsid w:val="17F703AC"/>
    <w:rsid w:val="17FF717E"/>
    <w:rsid w:val="17FF7245"/>
    <w:rsid w:val="19FDD954"/>
    <w:rsid w:val="1ABA16AA"/>
    <w:rsid w:val="1ACBCBAE"/>
    <w:rsid w:val="1B7F760C"/>
    <w:rsid w:val="1BA77BF5"/>
    <w:rsid w:val="1BAF804C"/>
    <w:rsid w:val="1BCF8ADE"/>
    <w:rsid w:val="1BDC5231"/>
    <w:rsid w:val="1BFD85D0"/>
    <w:rsid w:val="1BFF5DB5"/>
    <w:rsid w:val="1D7FD7E9"/>
    <w:rsid w:val="1D9DCE64"/>
    <w:rsid w:val="1DAC52E8"/>
    <w:rsid w:val="1DD42BE6"/>
    <w:rsid w:val="1DEB1FE9"/>
    <w:rsid w:val="1DF59AD1"/>
    <w:rsid w:val="1DFD645D"/>
    <w:rsid w:val="1DFE20B0"/>
    <w:rsid w:val="1DFF6DD2"/>
    <w:rsid w:val="1E590E90"/>
    <w:rsid w:val="1E772871"/>
    <w:rsid w:val="1E9A4774"/>
    <w:rsid w:val="1EAF283A"/>
    <w:rsid w:val="1EDB863D"/>
    <w:rsid w:val="1EDF80E4"/>
    <w:rsid w:val="1EEAA016"/>
    <w:rsid w:val="1EEFC04D"/>
    <w:rsid w:val="1EF3686A"/>
    <w:rsid w:val="1EFB3772"/>
    <w:rsid w:val="1F568CC2"/>
    <w:rsid w:val="1F5B5C90"/>
    <w:rsid w:val="1F8F057C"/>
    <w:rsid w:val="1FAF82A1"/>
    <w:rsid w:val="1FAFC9B3"/>
    <w:rsid w:val="1FBC903F"/>
    <w:rsid w:val="1FBF14A4"/>
    <w:rsid w:val="1FBF5F9C"/>
    <w:rsid w:val="1FD1C65D"/>
    <w:rsid w:val="1FDF6D98"/>
    <w:rsid w:val="1FDF84C3"/>
    <w:rsid w:val="1FE614EE"/>
    <w:rsid w:val="1FE7E56C"/>
    <w:rsid w:val="1FEDE235"/>
    <w:rsid w:val="1FEEF629"/>
    <w:rsid w:val="1FEF250F"/>
    <w:rsid w:val="1FEFAB29"/>
    <w:rsid w:val="1FEFD8BC"/>
    <w:rsid w:val="1FF56DBB"/>
    <w:rsid w:val="1FF84B5A"/>
    <w:rsid w:val="1FFFD696"/>
    <w:rsid w:val="1FFFFB82"/>
    <w:rsid w:val="214CA848"/>
    <w:rsid w:val="22EF7167"/>
    <w:rsid w:val="23DF6BC4"/>
    <w:rsid w:val="2577724D"/>
    <w:rsid w:val="257AAB9E"/>
    <w:rsid w:val="25DBBC8E"/>
    <w:rsid w:val="25FB7C1C"/>
    <w:rsid w:val="26FB1BA9"/>
    <w:rsid w:val="26FB3F79"/>
    <w:rsid w:val="26FD4B8D"/>
    <w:rsid w:val="26FF120D"/>
    <w:rsid w:val="26FF9A48"/>
    <w:rsid w:val="2795210E"/>
    <w:rsid w:val="27D862E3"/>
    <w:rsid w:val="27EE8480"/>
    <w:rsid w:val="27FDF993"/>
    <w:rsid w:val="27FF96A1"/>
    <w:rsid w:val="287FE62F"/>
    <w:rsid w:val="28FE04BD"/>
    <w:rsid w:val="29993E52"/>
    <w:rsid w:val="2B2E063F"/>
    <w:rsid w:val="2B2F4565"/>
    <w:rsid w:val="2B7DB2C7"/>
    <w:rsid w:val="2BF83D3B"/>
    <w:rsid w:val="2BFD5C94"/>
    <w:rsid w:val="2BFE928C"/>
    <w:rsid w:val="2BFF6BCC"/>
    <w:rsid w:val="2BFF875A"/>
    <w:rsid w:val="2CB571AF"/>
    <w:rsid w:val="2CBC973D"/>
    <w:rsid w:val="2CBE6581"/>
    <w:rsid w:val="2CBE8F59"/>
    <w:rsid w:val="2CBF2EF2"/>
    <w:rsid w:val="2D5386DD"/>
    <w:rsid w:val="2D6F70EA"/>
    <w:rsid w:val="2D7B341C"/>
    <w:rsid w:val="2D7E47F5"/>
    <w:rsid w:val="2DB6DB5E"/>
    <w:rsid w:val="2DEF97DC"/>
    <w:rsid w:val="2DF7ADAC"/>
    <w:rsid w:val="2DFD65A8"/>
    <w:rsid w:val="2DFF1F70"/>
    <w:rsid w:val="2DFFB24E"/>
    <w:rsid w:val="2E4275B3"/>
    <w:rsid w:val="2E5A9744"/>
    <w:rsid w:val="2E7B0E94"/>
    <w:rsid w:val="2EBF6C96"/>
    <w:rsid w:val="2ED766F0"/>
    <w:rsid w:val="2F5F696B"/>
    <w:rsid w:val="2F665AB9"/>
    <w:rsid w:val="2F7381E2"/>
    <w:rsid w:val="2F824906"/>
    <w:rsid w:val="2F9C7DF0"/>
    <w:rsid w:val="2FC6D73E"/>
    <w:rsid w:val="2FCBB8B0"/>
    <w:rsid w:val="2FDAB3D0"/>
    <w:rsid w:val="2FDBACAF"/>
    <w:rsid w:val="2FDC053E"/>
    <w:rsid w:val="2FDD5F5A"/>
    <w:rsid w:val="2FDE1E5F"/>
    <w:rsid w:val="2FDF45A0"/>
    <w:rsid w:val="2FE72827"/>
    <w:rsid w:val="2FFAB18B"/>
    <w:rsid w:val="2FFB40FF"/>
    <w:rsid w:val="2FFB8D5A"/>
    <w:rsid w:val="2FFF3110"/>
    <w:rsid w:val="2FFF3DF3"/>
    <w:rsid w:val="2FFFDF35"/>
    <w:rsid w:val="30945357"/>
    <w:rsid w:val="30EDDD42"/>
    <w:rsid w:val="310FF2DB"/>
    <w:rsid w:val="31279079"/>
    <w:rsid w:val="313B92D2"/>
    <w:rsid w:val="32D74A88"/>
    <w:rsid w:val="32E7B07A"/>
    <w:rsid w:val="336169AA"/>
    <w:rsid w:val="33B9AF90"/>
    <w:rsid w:val="33BF94D9"/>
    <w:rsid w:val="33EDD5B0"/>
    <w:rsid w:val="33F53D95"/>
    <w:rsid w:val="342B48F5"/>
    <w:rsid w:val="349F2081"/>
    <w:rsid w:val="34FE4C83"/>
    <w:rsid w:val="3577FDF6"/>
    <w:rsid w:val="357F4D23"/>
    <w:rsid w:val="35DB3273"/>
    <w:rsid w:val="35F3A68F"/>
    <w:rsid w:val="35FB2BDA"/>
    <w:rsid w:val="35FF6F1E"/>
    <w:rsid w:val="35FFAC4E"/>
    <w:rsid w:val="369BF20D"/>
    <w:rsid w:val="36CF05F5"/>
    <w:rsid w:val="36DBA240"/>
    <w:rsid w:val="36EF976C"/>
    <w:rsid w:val="36FDC27B"/>
    <w:rsid w:val="36FE65A8"/>
    <w:rsid w:val="36FFA968"/>
    <w:rsid w:val="371EB1F0"/>
    <w:rsid w:val="373F3D7E"/>
    <w:rsid w:val="375B1785"/>
    <w:rsid w:val="379FB0CF"/>
    <w:rsid w:val="37A70787"/>
    <w:rsid w:val="37BCE0C3"/>
    <w:rsid w:val="37BF7033"/>
    <w:rsid w:val="37D7C049"/>
    <w:rsid w:val="37EA4E09"/>
    <w:rsid w:val="37F2D497"/>
    <w:rsid w:val="37F85B84"/>
    <w:rsid w:val="37F9478F"/>
    <w:rsid w:val="37F9555C"/>
    <w:rsid w:val="37FE8A14"/>
    <w:rsid w:val="37FE9B52"/>
    <w:rsid w:val="37FF6572"/>
    <w:rsid w:val="37FFC705"/>
    <w:rsid w:val="37FFD5A8"/>
    <w:rsid w:val="37FFD73E"/>
    <w:rsid w:val="37FFEA96"/>
    <w:rsid w:val="38DF7CA5"/>
    <w:rsid w:val="38F7FB5B"/>
    <w:rsid w:val="393DF57A"/>
    <w:rsid w:val="395F3166"/>
    <w:rsid w:val="39716426"/>
    <w:rsid w:val="397EBC82"/>
    <w:rsid w:val="39F6560B"/>
    <w:rsid w:val="39FE4552"/>
    <w:rsid w:val="3A22DF6F"/>
    <w:rsid w:val="3A9B67A7"/>
    <w:rsid w:val="3ABEAA53"/>
    <w:rsid w:val="3ACE4B4E"/>
    <w:rsid w:val="3ADFA670"/>
    <w:rsid w:val="3ADFAA72"/>
    <w:rsid w:val="3AEE5C1C"/>
    <w:rsid w:val="3AFF5D92"/>
    <w:rsid w:val="3B1F29A9"/>
    <w:rsid w:val="3B7A5544"/>
    <w:rsid w:val="3B7B521E"/>
    <w:rsid w:val="3B7FF041"/>
    <w:rsid w:val="3B9356E3"/>
    <w:rsid w:val="3B9B88A1"/>
    <w:rsid w:val="3BAFA18D"/>
    <w:rsid w:val="3BD7B9F7"/>
    <w:rsid w:val="3BDD523D"/>
    <w:rsid w:val="3BDDCC04"/>
    <w:rsid w:val="3BDDF331"/>
    <w:rsid w:val="3BDF3E92"/>
    <w:rsid w:val="3BEE9871"/>
    <w:rsid w:val="3BEFC56C"/>
    <w:rsid w:val="3BF70AB6"/>
    <w:rsid w:val="3BF78AD3"/>
    <w:rsid w:val="3BFBE541"/>
    <w:rsid w:val="3BFC7C76"/>
    <w:rsid w:val="3BFEB50C"/>
    <w:rsid w:val="3BFF070E"/>
    <w:rsid w:val="3BFF0AB2"/>
    <w:rsid w:val="3BFF27F4"/>
    <w:rsid w:val="3BFF4348"/>
    <w:rsid w:val="3BFF5E07"/>
    <w:rsid w:val="3BFFC0B3"/>
    <w:rsid w:val="3BFFC80E"/>
    <w:rsid w:val="3BFFD5CF"/>
    <w:rsid w:val="3C1E20EE"/>
    <w:rsid w:val="3C98FE57"/>
    <w:rsid w:val="3C9FD20C"/>
    <w:rsid w:val="3CBB905E"/>
    <w:rsid w:val="3CEE41C6"/>
    <w:rsid w:val="3CFAC007"/>
    <w:rsid w:val="3CFBC21D"/>
    <w:rsid w:val="3CFE434C"/>
    <w:rsid w:val="3CFED136"/>
    <w:rsid w:val="3D3AEC7D"/>
    <w:rsid w:val="3D4FC307"/>
    <w:rsid w:val="3D77B2EE"/>
    <w:rsid w:val="3D7AE9FE"/>
    <w:rsid w:val="3D7B1AC7"/>
    <w:rsid w:val="3D7D7CCF"/>
    <w:rsid w:val="3D7E25F2"/>
    <w:rsid w:val="3D7F885B"/>
    <w:rsid w:val="3D97F8B5"/>
    <w:rsid w:val="3DA38266"/>
    <w:rsid w:val="3DBBD2FA"/>
    <w:rsid w:val="3DBFB9E7"/>
    <w:rsid w:val="3DCF00FE"/>
    <w:rsid w:val="3DD5FB53"/>
    <w:rsid w:val="3DDB1ECC"/>
    <w:rsid w:val="3DDBB837"/>
    <w:rsid w:val="3DDDA3A3"/>
    <w:rsid w:val="3DDFF33D"/>
    <w:rsid w:val="3DE723C8"/>
    <w:rsid w:val="3DF33680"/>
    <w:rsid w:val="3DF34AF9"/>
    <w:rsid w:val="3DF79773"/>
    <w:rsid w:val="3DF79982"/>
    <w:rsid w:val="3DF88528"/>
    <w:rsid w:val="3DFF0D7F"/>
    <w:rsid w:val="3DFF128E"/>
    <w:rsid w:val="3DFF2187"/>
    <w:rsid w:val="3DFF394E"/>
    <w:rsid w:val="3DFF7004"/>
    <w:rsid w:val="3DFFAD2C"/>
    <w:rsid w:val="3DFFC045"/>
    <w:rsid w:val="3E33DA4E"/>
    <w:rsid w:val="3E3FEAC8"/>
    <w:rsid w:val="3E5DC545"/>
    <w:rsid w:val="3E5FB328"/>
    <w:rsid w:val="3E79BA22"/>
    <w:rsid w:val="3E7A9CD0"/>
    <w:rsid w:val="3E8D2010"/>
    <w:rsid w:val="3E97D135"/>
    <w:rsid w:val="3E9BBDB2"/>
    <w:rsid w:val="3EB3DD3A"/>
    <w:rsid w:val="3EBF85D4"/>
    <w:rsid w:val="3EC79EF2"/>
    <w:rsid w:val="3EF6030C"/>
    <w:rsid w:val="3EFED69E"/>
    <w:rsid w:val="3EFF0721"/>
    <w:rsid w:val="3EFF0953"/>
    <w:rsid w:val="3EFF872F"/>
    <w:rsid w:val="3EFFECAC"/>
    <w:rsid w:val="3F1F4D88"/>
    <w:rsid w:val="3F3D9B08"/>
    <w:rsid w:val="3F3E5A34"/>
    <w:rsid w:val="3F3F2EDE"/>
    <w:rsid w:val="3F5691C9"/>
    <w:rsid w:val="3F576383"/>
    <w:rsid w:val="3F5F010A"/>
    <w:rsid w:val="3F5FFA3B"/>
    <w:rsid w:val="3F6B27BE"/>
    <w:rsid w:val="3F6F5EB3"/>
    <w:rsid w:val="3F7C1EA2"/>
    <w:rsid w:val="3F7ED2DE"/>
    <w:rsid w:val="3F7FD696"/>
    <w:rsid w:val="3F96E18D"/>
    <w:rsid w:val="3F9947F9"/>
    <w:rsid w:val="3F9CE5AA"/>
    <w:rsid w:val="3F9E4281"/>
    <w:rsid w:val="3F9F5F8D"/>
    <w:rsid w:val="3FB39A73"/>
    <w:rsid w:val="3FB6ED67"/>
    <w:rsid w:val="3FBCE721"/>
    <w:rsid w:val="3FBE2C2C"/>
    <w:rsid w:val="3FBE2CAD"/>
    <w:rsid w:val="3FBF82B1"/>
    <w:rsid w:val="3FBFDA90"/>
    <w:rsid w:val="3FD526B4"/>
    <w:rsid w:val="3FD71A76"/>
    <w:rsid w:val="3FDAA98F"/>
    <w:rsid w:val="3FDDCBD5"/>
    <w:rsid w:val="3FDEDFDD"/>
    <w:rsid w:val="3FE391AA"/>
    <w:rsid w:val="3FE62081"/>
    <w:rsid w:val="3FE728D3"/>
    <w:rsid w:val="3FE9314B"/>
    <w:rsid w:val="3FED4DE9"/>
    <w:rsid w:val="3FEEE93E"/>
    <w:rsid w:val="3FEF1223"/>
    <w:rsid w:val="3FEFB030"/>
    <w:rsid w:val="3FEFC6E2"/>
    <w:rsid w:val="3FEFF316"/>
    <w:rsid w:val="3FEFF5B0"/>
    <w:rsid w:val="3FF09FC8"/>
    <w:rsid w:val="3FFB83D1"/>
    <w:rsid w:val="3FFB9C40"/>
    <w:rsid w:val="3FFE4E47"/>
    <w:rsid w:val="3FFE5698"/>
    <w:rsid w:val="3FFF06E7"/>
    <w:rsid w:val="3FFF14B0"/>
    <w:rsid w:val="3FFF1EE8"/>
    <w:rsid w:val="3FFF38AE"/>
    <w:rsid w:val="3FFF43D8"/>
    <w:rsid w:val="3FFF5059"/>
    <w:rsid w:val="3FFF63A6"/>
    <w:rsid w:val="3FFF83A2"/>
    <w:rsid w:val="3FFF88FB"/>
    <w:rsid w:val="3FFF9615"/>
    <w:rsid w:val="3FFFBE95"/>
    <w:rsid w:val="3FFFE0D2"/>
    <w:rsid w:val="407EBE69"/>
    <w:rsid w:val="427703A1"/>
    <w:rsid w:val="42EB53FA"/>
    <w:rsid w:val="43FFE062"/>
    <w:rsid w:val="451E6001"/>
    <w:rsid w:val="45EF9FA2"/>
    <w:rsid w:val="460A4F0E"/>
    <w:rsid w:val="468D5ADB"/>
    <w:rsid w:val="46DF502F"/>
    <w:rsid w:val="46E4FAB4"/>
    <w:rsid w:val="46FFB943"/>
    <w:rsid w:val="47C903B7"/>
    <w:rsid w:val="47DE1BEC"/>
    <w:rsid w:val="47DFA369"/>
    <w:rsid w:val="47F89F8A"/>
    <w:rsid w:val="47FFAE3C"/>
    <w:rsid w:val="485640D7"/>
    <w:rsid w:val="48D341D6"/>
    <w:rsid w:val="49B7CAE8"/>
    <w:rsid w:val="4AD03E09"/>
    <w:rsid w:val="4AEF1772"/>
    <w:rsid w:val="4B476DCA"/>
    <w:rsid w:val="4B7F47C9"/>
    <w:rsid w:val="4B8F84C7"/>
    <w:rsid w:val="4BEEF3F8"/>
    <w:rsid w:val="4BF60C67"/>
    <w:rsid w:val="4BFDF205"/>
    <w:rsid w:val="4BFF2A61"/>
    <w:rsid w:val="4CCFE2E4"/>
    <w:rsid w:val="4CFFF57D"/>
    <w:rsid w:val="4D6F0334"/>
    <w:rsid w:val="4DA22D54"/>
    <w:rsid w:val="4DABA1AF"/>
    <w:rsid w:val="4DEFB7D6"/>
    <w:rsid w:val="4DF66A9F"/>
    <w:rsid w:val="4DFD7507"/>
    <w:rsid w:val="4DFE0BA8"/>
    <w:rsid w:val="4E771B9D"/>
    <w:rsid w:val="4EB1A3EC"/>
    <w:rsid w:val="4EBAD56E"/>
    <w:rsid w:val="4ECB21F8"/>
    <w:rsid w:val="4ECB5B0A"/>
    <w:rsid w:val="4EF3D32C"/>
    <w:rsid w:val="4EF5E76E"/>
    <w:rsid w:val="4EFAD765"/>
    <w:rsid w:val="4EFFB7DA"/>
    <w:rsid w:val="4F070C52"/>
    <w:rsid w:val="4F35D91A"/>
    <w:rsid w:val="4F5CF932"/>
    <w:rsid w:val="4F7AADC4"/>
    <w:rsid w:val="4F7BB8BC"/>
    <w:rsid w:val="4F7F785D"/>
    <w:rsid w:val="4F7F7B90"/>
    <w:rsid w:val="4FA9D2AF"/>
    <w:rsid w:val="4FB6D58D"/>
    <w:rsid w:val="4FBCBB4F"/>
    <w:rsid w:val="4FBEEF15"/>
    <w:rsid w:val="4FBF9B79"/>
    <w:rsid w:val="4FBFB98E"/>
    <w:rsid w:val="4FDB16FD"/>
    <w:rsid w:val="4FDE734F"/>
    <w:rsid w:val="4FEA6D9F"/>
    <w:rsid w:val="4FEF8863"/>
    <w:rsid w:val="4FF3768C"/>
    <w:rsid w:val="4FF54B09"/>
    <w:rsid w:val="4FF74780"/>
    <w:rsid w:val="4FFAE0B4"/>
    <w:rsid w:val="4FFB5972"/>
    <w:rsid w:val="4FFBF90F"/>
    <w:rsid w:val="4FFEA987"/>
    <w:rsid w:val="4FFEFDC0"/>
    <w:rsid w:val="4FFF811E"/>
    <w:rsid w:val="4FFF875D"/>
    <w:rsid w:val="4FFFACE1"/>
    <w:rsid w:val="4FFFE13C"/>
    <w:rsid w:val="5067CBD2"/>
    <w:rsid w:val="50F8C3BE"/>
    <w:rsid w:val="5177D407"/>
    <w:rsid w:val="51BF56A8"/>
    <w:rsid w:val="51F9C5F1"/>
    <w:rsid w:val="51FB1392"/>
    <w:rsid w:val="524728E3"/>
    <w:rsid w:val="52D78835"/>
    <w:rsid w:val="52DBE5A3"/>
    <w:rsid w:val="537EEA68"/>
    <w:rsid w:val="539D504E"/>
    <w:rsid w:val="53EFBA74"/>
    <w:rsid w:val="53F96DCF"/>
    <w:rsid w:val="547E0D6C"/>
    <w:rsid w:val="547E767F"/>
    <w:rsid w:val="54A1192D"/>
    <w:rsid w:val="54FDCDFB"/>
    <w:rsid w:val="556E76F9"/>
    <w:rsid w:val="557A4BAD"/>
    <w:rsid w:val="557F70BC"/>
    <w:rsid w:val="55B70425"/>
    <w:rsid w:val="55DECD35"/>
    <w:rsid w:val="55FEB2E6"/>
    <w:rsid w:val="55FF303E"/>
    <w:rsid w:val="569F23F6"/>
    <w:rsid w:val="56DFA923"/>
    <w:rsid w:val="56F5034E"/>
    <w:rsid w:val="56FD0A8B"/>
    <w:rsid w:val="572DDA33"/>
    <w:rsid w:val="573E781B"/>
    <w:rsid w:val="575ABCEF"/>
    <w:rsid w:val="5778663C"/>
    <w:rsid w:val="577B73B0"/>
    <w:rsid w:val="577F15E7"/>
    <w:rsid w:val="577F8B72"/>
    <w:rsid w:val="577FF8B1"/>
    <w:rsid w:val="579DC398"/>
    <w:rsid w:val="57B7D582"/>
    <w:rsid w:val="57D6CE70"/>
    <w:rsid w:val="57DB48D7"/>
    <w:rsid w:val="57DF6B50"/>
    <w:rsid w:val="57EBBE4A"/>
    <w:rsid w:val="57ED19B3"/>
    <w:rsid w:val="57EF6BB0"/>
    <w:rsid w:val="57F725EE"/>
    <w:rsid w:val="57F938D8"/>
    <w:rsid w:val="57FBD7D1"/>
    <w:rsid w:val="57FCDC78"/>
    <w:rsid w:val="57FF943C"/>
    <w:rsid w:val="593BF162"/>
    <w:rsid w:val="595F7E97"/>
    <w:rsid w:val="597F93CB"/>
    <w:rsid w:val="599E2795"/>
    <w:rsid w:val="59B7E590"/>
    <w:rsid w:val="59E37A83"/>
    <w:rsid w:val="59EE9ACA"/>
    <w:rsid w:val="59F392CE"/>
    <w:rsid w:val="59F671C5"/>
    <w:rsid w:val="59FB8068"/>
    <w:rsid w:val="5A96534F"/>
    <w:rsid w:val="5A97B769"/>
    <w:rsid w:val="5A9F103E"/>
    <w:rsid w:val="5AFFD963"/>
    <w:rsid w:val="5B2AE911"/>
    <w:rsid w:val="5B3F9E13"/>
    <w:rsid w:val="5B69CF42"/>
    <w:rsid w:val="5B6F0786"/>
    <w:rsid w:val="5B778AC8"/>
    <w:rsid w:val="5B7FA06D"/>
    <w:rsid w:val="5B92EB8C"/>
    <w:rsid w:val="5B9F6D23"/>
    <w:rsid w:val="5BB9F5B0"/>
    <w:rsid w:val="5BBFD26A"/>
    <w:rsid w:val="5BCB71FB"/>
    <w:rsid w:val="5BD973BB"/>
    <w:rsid w:val="5BF57E2B"/>
    <w:rsid w:val="5BFBBCC0"/>
    <w:rsid w:val="5BFE34BB"/>
    <w:rsid w:val="5BFED3F0"/>
    <w:rsid w:val="5BFF0E4E"/>
    <w:rsid w:val="5BFF4280"/>
    <w:rsid w:val="5C2EDE82"/>
    <w:rsid w:val="5CD33F88"/>
    <w:rsid w:val="5CDF7F79"/>
    <w:rsid w:val="5CFB5278"/>
    <w:rsid w:val="5CFC4B05"/>
    <w:rsid w:val="5CFFC7AD"/>
    <w:rsid w:val="5CFFD3CC"/>
    <w:rsid w:val="5D39ED0D"/>
    <w:rsid w:val="5D7FDFE1"/>
    <w:rsid w:val="5DAB1F64"/>
    <w:rsid w:val="5DB3B514"/>
    <w:rsid w:val="5DBEF626"/>
    <w:rsid w:val="5DDBD7A4"/>
    <w:rsid w:val="5DDF0C9D"/>
    <w:rsid w:val="5DDF6A55"/>
    <w:rsid w:val="5DED5FB3"/>
    <w:rsid w:val="5DFAC0E5"/>
    <w:rsid w:val="5E6B75FD"/>
    <w:rsid w:val="5EAF3226"/>
    <w:rsid w:val="5EB7F8E8"/>
    <w:rsid w:val="5EBB91F3"/>
    <w:rsid w:val="5EBF840F"/>
    <w:rsid w:val="5EDCF11E"/>
    <w:rsid w:val="5EDF0435"/>
    <w:rsid w:val="5EDF05A0"/>
    <w:rsid w:val="5EE2BADE"/>
    <w:rsid w:val="5EE755CE"/>
    <w:rsid w:val="5EEB3511"/>
    <w:rsid w:val="5EF8686F"/>
    <w:rsid w:val="5EF94EB1"/>
    <w:rsid w:val="5EFAA860"/>
    <w:rsid w:val="5F08B407"/>
    <w:rsid w:val="5F1211FE"/>
    <w:rsid w:val="5F2E9186"/>
    <w:rsid w:val="5F2F08EE"/>
    <w:rsid w:val="5F37FBF4"/>
    <w:rsid w:val="5F572940"/>
    <w:rsid w:val="5F5B74E8"/>
    <w:rsid w:val="5F5B886F"/>
    <w:rsid w:val="5F5E2E32"/>
    <w:rsid w:val="5F5FEF81"/>
    <w:rsid w:val="5F68F246"/>
    <w:rsid w:val="5F6DC851"/>
    <w:rsid w:val="5F6E3B3C"/>
    <w:rsid w:val="5F6F1566"/>
    <w:rsid w:val="5F6F1D8E"/>
    <w:rsid w:val="5F6FC452"/>
    <w:rsid w:val="5F7D10C5"/>
    <w:rsid w:val="5F7D12D4"/>
    <w:rsid w:val="5F7D1E1A"/>
    <w:rsid w:val="5F7DC08C"/>
    <w:rsid w:val="5F7DEE5E"/>
    <w:rsid w:val="5F7EB04F"/>
    <w:rsid w:val="5F7EC8AE"/>
    <w:rsid w:val="5F7F126A"/>
    <w:rsid w:val="5F7F1746"/>
    <w:rsid w:val="5F91F651"/>
    <w:rsid w:val="5F9F7637"/>
    <w:rsid w:val="5FAFA0D2"/>
    <w:rsid w:val="5FB3B83F"/>
    <w:rsid w:val="5FB78A65"/>
    <w:rsid w:val="5FB7A57F"/>
    <w:rsid w:val="5FB7C1CC"/>
    <w:rsid w:val="5FBDD34C"/>
    <w:rsid w:val="5FBF3B96"/>
    <w:rsid w:val="5FBF84BF"/>
    <w:rsid w:val="5FBF89E6"/>
    <w:rsid w:val="5FCBB23B"/>
    <w:rsid w:val="5FCDEAF8"/>
    <w:rsid w:val="5FCF2315"/>
    <w:rsid w:val="5FD74FBA"/>
    <w:rsid w:val="5FD7A730"/>
    <w:rsid w:val="5FDE171F"/>
    <w:rsid w:val="5FDF6A1C"/>
    <w:rsid w:val="5FDFD02C"/>
    <w:rsid w:val="5FDFEF53"/>
    <w:rsid w:val="5FEB1C1B"/>
    <w:rsid w:val="5FEE315B"/>
    <w:rsid w:val="5FEFDDF6"/>
    <w:rsid w:val="5FEFF0DD"/>
    <w:rsid w:val="5FF5E27B"/>
    <w:rsid w:val="5FF72F28"/>
    <w:rsid w:val="5FF7BACE"/>
    <w:rsid w:val="5FF7D504"/>
    <w:rsid w:val="5FF7E366"/>
    <w:rsid w:val="5FF95D3F"/>
    <w:rsid w:val="5FFA659C"/>
    <w:rsid w:val="5FFBD9D5"/>
    <w:rsid w:val="5FFD64D5"/>
    <w:rsid w:val="5FFDAAB9"/>
    <w:rsid w:val="5FFED477"/>
    <w:rsid w:val="5FFF0024"/>
    <w:rsid w:val="5FFF2D13"/>
    <w:rsid w:val="5FFF3128"/>
    <w:rsid w:val="5FFF3509"/>
    <w:rsid w:val="5FFF45DE"/>
    <w:rsid w:val="5FFF5121"/>
    <w:rsid w:val="5FFF767A"/>
    <w:rsid w:val="5FFFD1D1"/>
    <w:rsid w:val="5FFFF442"/>
    <w:rsid w:val="5FFFFA3E"/>
    <w:rsid w:val="617DE2FC"/>
    <w:rsid w:val="62FFF6B3"/>
    <w:rsid w:val="633BE8BD"/>
    <w:rsid w:val="634E482B"/>
    <w:rsid w:val="63778E8F"/>
    <w:rsid w:val="637F28A1"/>
    <w:rsid w:val="637FD1D1"/>
    <w:rsid w:val="63B260A5"/>
    <w:rsid w:val="63BD15C1"/>
    <w:rsid w:val="63CD55FB"/>
    <w:rsid w:val="63DB7CFA"/>
    <w:rsid w:val="63DF7F3F"/>
    <w:rsid w:val="63EDE35E"/>
    <w:rsid w:val="63EF0A1A"/>
    <w:rsid w:val="63FB460E"/>
    <w:rsid w:val="63FCCF8C"/>
    <w:rsid w:val="64A97F88"/>
    <w:rsid w:val="64EEC4B9"/>
    <w:rsid w:val="64EF9757"/>
    <w:rsid w:val="64FA6DFD"/>
    <w:rsid w:val="64FF7E07"/>
    <w:rsid w:val="65B5CDBC"/>
    <w:rsid w:val="65BC66E1"/>
    <w:rsid w:val="65FBEC53"/>
    <w:rsid w:val="65FF33EE"/>
    <w:rsid w:val="6616F825"/>
    <w:rsid w:val="663FC33F"/>
    <w:rsid w:val="666DA25B"/>
    <w:rsid w:val="667DD67F"/>
    <w:rsid w:val="667EBA23"/>
    <w:rsid w:val="667F3A4B"/>
    <w:rsid w:val="667FE0DE"/>
    <w:rsid w:val="669740C4"/>
    <w:rsid w:val="66DD920A"/>
    <w:rsid w:val="66DFF9FC"/>
    <w:rsid w:val="66FA5431"/>
    <w:rsid w:val="66FEB755"/>
    <w:rsid w:val="66FF729C"/>
    <w:rsid w:val="6727CC26"/>
    <w:rsid w:val="673E56CF"/>
    <w:rsid w:val="675ABAD5"/>
    <w:rsid w:val="67657D41"/>
    <w:rsid w:val="676F5CA4"/>
    <w:rsid w:val="677EC277"/>
    <w:rsid w:val="679FE8AB"/>
    <w:rsid w:val="67A67466"/>
    <w:rsid w:val="67ABA617"/>
    <w:rsid w:val="67B5D0B0"/>
    <w:rsid w:val="67D7A9CA"/>
    <w:rsid w:val="67DBD46D"/>
    <w:rsid w:val="67E77FFF"/>
    <w:rsid w:val="67EE11A8"/>
    <w:rsid w:val="67EF1080"/>
    <w:rsid w:val="67F0F75A"/>
    <w:rsid w:val="67F28E7E"/>
    <w:rsid w:val="67F3A195"/>
    <w:rsid w:val="67F7C7C4"/>
    <w:rsid w:val="67F8D330"/>
    <w:rsid w:val="67FF0B66"/>
    <w:rsid w:val="67FFE513"/>
    <w:rsid w:val="67FFEFEF"/>
    <w:rsid w:val="685F6DF2"/>
    <w:rsid w:val="68DE3EE4"/>
    <w:rsid w:val="68EFE8F9"/>
    <w:rsid w:val="68FF888F"/>
    <w:rsid w:val="693F8728"/>
    <w:rsid w:val="69AF8704"/>
    <w:rsid w:val="69FD26CD"/>
    <w:rsid w:val="69FF8C0E"/>
    <w:rsid w:val="6A3B0690"/>
    <w:rsid w:val="6A625513"/>
    <w:rsid w:val="6A9F4800"/>
    <w:rsid w:val="6ABB0F05"/>
    <w:rsid w:val="6AD2F73B"/>
    <w:rsid w:val="6AD680E5"/>
    <w:rsid w:val="6AD8194A"/>
    <w:rsid w:val="6AF23844"/>
    <w:rsid w:val="6AF381DD"/>
    <w:rsid w:val="6AFA7FF0"/>
    <w:rsid w:val="6AFB399F"/>
    <w:rsid w:val="6AFF26CB"/>
    <w:rsid w:val="6AFF5F86"/>
    <w:rsid w:val="6AFFD8C8"/>
    <w:rsid w:val="6AFFE9AD"/>
    <w:rsid w:val="6B1BEA0D"/>
    <w:rsid w:val="6B3BFF6D"/>
    <w:rsid w:val="6B778021"/>
    <w:rsid w:val="6B77E9A4"/>
    <w:rsid w:val="6B7DE213"/>
    <w:rsid w:val="6B7F52ED"/>
    <w:rsid w:val="6B7F5966"/>
    <w:rsid w:val="6B7FCC27"/>
    <w:rsid w:val="6BAD780A"/>
    <w:rsid w:val="6BADBDC7"/>
    <w:rsid w:val="6BB7E3C2"/>
    <w:rsid w:val="6BBFC20F"/>
    <w:rsid w:val="6BDC95EE"/>
    <w:rsid w:val="6BF76D5D"/>
    <w:rsid w:val="6BFB1210"/>
    <w:rsid w:val="6BFF42F7"/>
    <w:rsid w:val="6BFF4D1F"/>
    <w:rsid w:val="6BFF6CF1"/>
    <w:rsid w:val="6BFF9155"/>
    <w:rsid w:val="6BFFAC70"/>
    <w:rsid w:val="6C7AE979"/>
    <w:rsid w:val="6C7F2A8E"/>
    <w:rsid w:val="6C7F616D"/>
    <w:rsid w:val="6C7FEB74"/>
    <w:rsid w:val="6CBFC6B8"/>
    <w:rsid w:val="6CD8031F"/>
    <w:rsid w:val="6CF78331"/>
    <w:rsid w:val="6D6F0344"/>
    <w:rsid w:val="6D733E78"/>
    <w:rsid w:val="6D7AEE90"/>
    <w:rsid w:val="6D7E358B"/>
    <w:rsid w:val="6D7E623A"/>
    <w:rsid w:val="6D7F34AD"/>
    <w:rsid w:val="6D9F9C66"/>
    <w:rsid w:val="6DAF9703"/>
    <w:rsid w:val="6DBFA277"/>
    <w:rsid w:val="6DBFE005"/>
    <w:rsid w:val="6DC22F35"/>
    <w:rsid w:val="6DCFBD00"/>
    <w:rsid w:val="6DDD3680"/>
    <w:rsid w:val="6DE61C68"/>
    <w:rsid w:val="6DE7BB1D"/>
    <w:rsid w:val="6DEB7B03"/>
    <w:rsid w:val="6DEFB054"/>
    <w:rsid w:val="6DF6E05D"/>
    <w:rsid w:val="6DF77B31"/>
    <w:rsid w:val="6DF7B38E"/>
    <w:rsid w:val="6DFCF71C"/>
    <w:rsid w:val="6DFE55B3"/>
    <w:rsid w:val="6DFE6F1B"/>
    <w:rsid w:val="6DFEC65A"/>
    <w:rsid w:val="6DFF1FF2"/>
    <w:rsid w:val="6DFF2DB9"/>
    <w:rsid w:val="6DFF8169"/>
    <w:rsid w:val="6E13308B"/>
    <w:rsid w:val="6E639A35"/>
    <w:rsid w:val="6E7BE5F5"/>
    <w:rsid w:val="6E7C95A3"/>
    <w:rsid w:val="6E7EAE17"/>
    <w:rsid w:val="6E8A4EA9"/>
    <w:rsid w:val="6EA7B272"/>
    <w:rsid w:val="6EAFED49"/>
    <w:rsid w:val="6EBE08CB"/>
    <w:rsid w:val="6EBEA551"/>
    <w:rsid w:val="6EBF6370"/>
    <w:rsid w:val="6EDF2FB2"/>
    <w:rsid w:val="6EDFC11B"/>
    <w:rsid w:val="6EDFE63B"/>
    <w:rsid w:val="6EEB5AFE"/>
    <w:rsid w:val="6EEDEF34"/>
    <w:rsid w:val="6EF3A5B4"/>
    <w:rsid w:val="6EF7A2EF"/>
    <w:rsid w:val="6EFAC7B1"/>
    <w:rsid w:val="6EFCA530"/>
    <w:rsid w:val="6EFE235B"/>
    <w:rsid w:val="6EFE396E"/>
    <w:rsid w:val="6EFF1710"/>
    <w:rsid w:val="6EFF94F9"/>
    <w:rsid w:val="6EFFC7B5"/>
    <w:rsid w:val="6F0F121A"/>
    <w:rsid w:val="6F2FD4A3"/>
    <w:rsid w:val="6F567B00"/>
    <w:rsid w:val="6F6BDAC3"/>
    <w:rsid w:val="6F77EC27"/>
    <w:rsid w:val="6F7882B0"/>
    <w:rsid w:val="6F7B0118"/>
    <w:rsid w:val="6F7B5D5C"/>
    <w:rsid w:val="6F7E6678"/>
    <w:rsid w:val="6F7EAF36"/>
    <w:rsid w:val="6F7F2620"/>
    <w:rsid w:val="6F9C90B1"/>
    <w:rsid w:val="6F9FB6F6"/>
    <w:rsid w:val="6FAA1D88"/>
    <w:rsid w:val="6FAFEB6C"/>
    <w:rsid w:val="6FAFFB73"/>
    <w:rsid w:val="6FB32AB9"/>
    <w:rsid w:val="6FB3CA48"/>
    <w:rsid w:val="6FBCF4F2"/>
    <w:rsid w:val="6FBF4487"/>
    <w:rsid w:val="6FBF84D2"/>
    <w:rsid w:val="6FBFE22D"/>
    <w:rsid w:val="6FCAC886"/>
    <w:rsid w:val="6FCB7BD7"/>
    <w:rsid w:val="6FCBE013"/>
    <w:rsid w:val="6FCDD077"/>
    <w:rsid w:val="6FCF8C69"/>
    <w:rsid w:val="6FCFA4EF"/>
    <w:rsid w:val="6FD7BA52"/>
    <w:rsid w:val="6FDA6DBB"/>
    <w:rsid w:val="6FDB9EF6"/>
    <w:rsid w:val="6FDBAE03"/>
    <w:rsid w:val="6FDDF75A"/>
    <w:rsid w:val="6FDE8945"/>
    <w:rsid w:val="6FDF0AE0"/>
    <w:rsid w:val="6FDFB9AA"/>
    <w:rsid w:val="6FE798BA"/>
    <w:rsid w:val="6FE90918"/>
    <w:rsid w:val="6FEB4C7C"/>
    <w:rsid w:val="6FECDF78"/>
    <w:rsid w:val="6FEE0503"/>
    <w:rsid w:val="6FEF4F45"/>
    <w:rsid w:val="6FEF7E71"/>
    <w:rsid w:val="6FF53EFF"/>
    <w:rsid w:val="6FF5EC88"/>
    <w:rsid w:val="6FF61998"/>
    <w:rsid w:val="6FF75C20"/>
    <w:rsid w:val="6FF7D4FD"/>
    <w:rsid w:val="6FFAEA2A"/>
    <w:rsid w:val="6FFB1032"/>
    <w:rsid w:val="6FFB69C5"/>
    <w:rsid w:val="6FFB9565"/>
    <w:rsid w:val="6FFBBABB"/>
    <w:rsid w:val="6FFBC38B"/>
    <w:rsid w:val="6FFD0604"/>
    <w:rsid w:val="6FFD76BC"/>
    <w:rsid w:val="6FFE8BFA"/>
    <w:rsid w:val="6FFEA012"/>
    <w:rsid w:val="6FFF29EF"/>
    <w:rsid w:val="6FFF331A"/>
    <w:rsid w:val="6FFFC767"/>
    <w:rsid w:val="6FFFE821"/>
    <w:rsid w:val="70DF4F13"/>
    <w:rsid w:val="70F65BFD"/>
    <w:rsid w:val="713FD8A9"/>
    <w:rsid w:val="71B6951B"/>
    <w:rsid w:val="71DB1C94"/>
    <w:rsid w:val="71E7EB6D"/>
    <w:rsid w:val="71ED604D"/>
    <w:rsid w:val="71EF08AE"/>
    <w:rsid w:val="71FF81DA"/>
    <w:rsid w:val="71FFFA71"/>
    <w:rsid w:val="72FF8022"/>
    <w:rsid w:val="73334171"/>
    <w:rsid w:val="733FED55"/>
    <w:rsid w:val="7356C7CB"/>
    <w:rsid w:val="735DA72C"/>
    <w:rsid w:val="736FB5BA"/>
    <w:rsid w:val="739FB91D"/>
    <w:rsid w:val="73BFA124"/>
    <w:rsid w:val="73BFA6B7"/>
    <w:rsid w:val="73D7DC70"/>
    <w:rsid w:val="73DF69D5"/>
    <w:rsid w:val="73ED1E57"/>
    <w:rsid w:val="73EDEED9"/>
    <w:rsid w:val="73EF5991"/>
    <w:rsid w:val="73EF7C77"/>
    <w:rsid w:val="73F703D6"/>
    <w:rsid w:val="73FA1DC0"/>
    <w:rsid w:val="73FEF4BE"/>
    <w:rsid w:val="73FF69C1"/>
    <w:rsid w:val="748D30FC"/>
    <w:rsid w:val="749FC0E9"/>
    <w:rsid w:val="74C7D15E"/>
    <w:rsid w:val="74DB7B07"/>
    <w:rsid w:val="74EFAFDF"/>
    <w:rsid w:val="74FA63C9"/>
    <w:rsid w:val="74FF2517"/>
    <w:rsid w:val="75230F33"/>
    <w:rsid w:val="7527E33F"/>
    <w:rsid w:val="7537FB43"/>
    <w:rsid w:val="75575120"/>
    <w:rsid w:val="755B1FBF"/>
    <w:rsid w:val="755BF2AC"/>
    <w:rsid w:val="756E8D28"/>
    <w:rsid w:val="757BAF28"/>
    <w:rsid w:val="758D8A10"/>
    <w:rsid w:val="759E166B"/>
    <w:rsid w:val="75C59C6F"/>
    <w:rsid w:val="75D5A3ED"/>
    <w:rsid w:val="75D7BA17"/>
    <w:rsid w:val="75EB96BC"/>
    <w:rsid w:val="75EF0280"/>
    <w:rsid w:val="75F09D07"/>
    <w:rsid w:val="75F7C561"/>
    <w:rsid w:val="75FA4F96"/>
    <w:rsid w:val="75FB5186"/>
    <w:rsid w:val="75FD2888"/>
    <w:rsid w:val="75FFBC01"/>
    <w:rsid w:val="761E8C1B"/>
    <w:rsid w:val="762B0992"/>
    <w:rsid w:val="76724334"/>
    <w:rsid w:val="767A77D1"/>
    <w:rsid w:val="767F0976"/>
    <w:rsid w:val="769F5B41"/>
    <w:rsid w:val="76BB5316"/>
    <w:rsid w:val="76BF0116"/>
    <w:rsid w:val="76BF4FE9"/>
    <w:rsid w:val="76CF127D"/>
    <w:rsid w:val="76CF423F"/>
    <w:rsid w:val="76DF2FA9"/>
    <w:rsid w:val="76DF6BCC"/>
    <w:rsid w:val="76DFDC65"/>
    <w:rsid w:val="76EDE401"/>
    <w:rsid w:val="76EF6E14"/>
    <w:rsid w:val="76EFA776"/>
    <w:rsid w:val="76FBB39D"/>
    <w:rsid w:val="77170466"/>
    <w:rsid w:val="773F5DD5"/>
    <w:rsid w:val="773F6277"/>
    <w:rsid w:val="774BCA47"/>
    <w:rsid w:val="7755D493"/>
    <w:rsid w:val="7757A763"/>
    <w:rsid w:val="776345F2"/>
    <w:rsid w:val="777D103A"/>
    <w:rsid w:val="777DC0A4"/>
    <w:rsid w:val="777F1CBF"/>
    <w:rsid w:val="777F7430"/>
    <w:rsid w:val="778340B5"/>
    <w:rsid w:val="7789AE06"/>
    <w:rsid w:val="778D7C3C"/>
    <w:rsid w:val="77925E94"/>
    <w:rsid w:val="779F2585"/>
    <w:rsid w:val="77AB1332"/>
    <w:rsid w:val="77AF10AA"/>
    <w:rsid w:val="77AF4038"/>
    <w:rsid w:val="77B37C06"/>
    <w:rsid w:val="77B65013"/>
    <w:rsid w:val="77BB9EE3"/>
    <w:rsid w:val="77BBD5F2"/>
    <w:rsid w:val="77BF0C06"/>
    <w:rsid w:val="77BF3C65"/>
    <w:rsid w:val="77CB7BDE"/>
    <w:rsid w:val="77D1E290"/>
    <w:rsid w:val="77D2B321"/>
    <w:rsid w:val="77D5CBFD"/>
    <w:rsid w:val="77D6042C"/>
    <w:rsid w:val="77D6869B"/>
    <w:rsid w:val="77D79BEE"/>
    <w:rsid w:val="77DB5EC5"/>
    <w:rsid w:val="77DF3DA9"/>
    <w:rsid w:val="77DF6B91"/>
    <w:rsid w:val="77E72F7F"/>
    <w:rsid w:val="77EB1424"/>
    <w:rsid w:val="77ECC04D"/>
    <w:rsid w:val="77ED481C"/>
    <w:rsid w:val="77EF7B8C"/>
    <w:rsid w:val="77F5FAB0"/>
    <w:rsid w:val="77F72BC8"/>
    <w:rsid w:val="77F74ADA"/>
    <w:rsid w:val="77F78EE5"/>
    <w:rsid w:val="77F7DC92"/>
    <w:rsid w:val="77F9FD4D"/>
    <w:rsid w:val="77FA446C"/>
    <w:rsid w:val="77FB3B44"/>
    <w:rsid w:val="77FB7168"/>
    <w:rsid w:val="77FB8595"/>
    <w:rsid w:val="77FB8E93"/>
    <w:rsid w:val="77FB9EF6"/>
    <w:rsid w:val="77FC6772"/>
    <w:rsid w:val="77FCEBA4"/>
    <w:rsid w:val="77FD4E20"/>
    <w:rsid w:val="77FDB04B"/>
    <w:rsid w:val="77FDCD2F"/>
    <w:rsid w:val="77FDE470"/>
    <w:rsid w:val="77FE20E3"/>
    <w:rsid w:val="77FE2C7F"/>
    <w:rsid w:val="77FF14B7"/>
    <w:rsid w:val="77FF4B4B"/>
    <w:rsid w:val="77FF609B"/>
    <w:rsid w:val="77FF7ACD"/>
    <w:rsid w:val="77FF8ED5"/>
    <w:rsid w:val="77FF9D0F"/>
    <w:rsid w:val="77FFD180"/>
    <w:rsid w:val="77FFE1DF"/>
    <w:rsid w:val="77FFF329"/>
    <w:rsid w:val="77FFF5BD"/>
    <w:rsid w:val="781F2029"/>
    <w:rsid w:val="787AEB1E"/>
    <w:rsid w:val="787E1054"/>
    <w:rsid w:val="78BBF723"/>
    <w:rsid w:val="78BE68E8"/>
    <w:rsid w:val="78C7357C"/>
    <w:rsid w:val="78DF8EAA"/>
    <w:rsid w:val="78FEB3FB"/>
    <w:rsid w:val="79377116"/>
    <w:rsid w:val="7983C94B"/>
    <w:rsid w:val="79995CDB"/>
    <w:rsid w:val="799FE02B"/>
    <w:rsid w:val="79AB768D"/>
    <w:rsid w:val="79ADC878"/>
    <w:rsid w:val="79B4EC24"/>
    <w:rsid w:val="79B572F5"/>
    <w:rsid w:val="79B5F325"/>
    <w:rsid w:val="79BE69A2"/>
    <w:rsid w:val="79BF58ED"/>
    <w:rsid w:val="79BFBC30"/>
    <w:rsid w:val="79BFCC27"/>
    <w:rsid w:val="79CB5F63"/>
    <w:rsid w:val="79CFDE38"/>
    <w:rsid w:val="79DDFBDB"/>
    <w:rsid w:val="79E68340"/>
    <w:rsid w:val="79E7F5C7"/>
    <w:rsid w:val="79ED781A"/>
    <w:rsid w:val="79EEFD2C"/>
    <w:rsid w:val="79EF790D"/>
    <w:rsid w:val="79F1E4D5"/>
    <w:rsid w:val="79F412D9"/>
    <w:rsid w:val="79F77317"/>
    <w:rsid w:val="79F79B6E"/>
    <w:rsid w:val="79F927DD"/>
    <w:rsid w:val="79F9E7D4"/>
    <w:rsid w:val="79FB4D61"/>
    <w:rsid w:val="79FC5507"/>
    <w:rsid w:val="79FD2F5E"/>
    <w:rsid w:val="79FE9E1E"/>
    <w:rsid w:val="7A0F1F08"/>
    <w:rsid w:val="7A742352"/>
    <w:rsid w:val="7A7EFBBD"/>
    <w:rsid w:val="7A7F465B"/>
    <w:rsid w:val="7A87DF2E"/>
    <w:rsid w:val="7A9CFD57"/>
    <w:rsid w:val="7AA18296"/>
    <w:rsid w:val="7AB3A370"/>
    <w:rsid w:val="7AB7F7A0"/>
    <w:rsid w:val="7ABBF586"/>
    <w:rsid w:val="7ABF68DB"/>
    <w:rsid w:val="7ACB101B"/>
    <w:rsid w:val="7AD5AEC2"/>
    <w:rsid w:val="7ADD4BD7"/>
    <w:rsid w:val="7AE36BAC"/>
    <w:rsid w:val="7AED5DF7"/>
    <w:rsid w:val="7AEDA1DB"/>
    <w:rsid w:val="7AF5948B"/>
    <w:rsid w:val="7AF686B3"/>
    <w:rsid w:val="7AF9EB62"/>
    <w:rsid w:val="7AFB870C"/>
    <w:rsid w:val="7AFF6047"/>
    <w:rsid w:val="7AFF65A9"/>
    <w:rsid w:val="7AFFA5D0"/>
    <w:rsid w:val="7B1F32FB"/>
    <w:rsid w:val="7B21E8F1"/>
    <w:rsid w:val="7B291724"/>
    <w:rsid w:val="7B2FE215"/>
    <w:rsid w:val="7B3B8814"/>
    <w:rsid w:val="7B544139"/>
    <w:rsid w:val="7B55541D"/>
    <w:rsid w:val="7B57D978"/>
    <w:rsid w:val="7B5A1BFF"/>
    <w:rsid w:val="7B65A539"/>
    <w:rsid w:val="7B758221"/>
    <w:rsid w:val="7B773CA4"/>
    <w:rsid w:val="7B7B46DD"/>
    <w:rsid w:val="7B7B6117"/>
    <w:rsid w:val="7B7CED40"/>
    <w:rsid w:val="7B7F8917"/>
    <w:rsid w:val="7B7FB4E9"/>
    <w:rsid w:val="7B814072"/>
    <w:rsid w:val="7B89A48D"/>
    <w:rsid w:val="7B9A71BA"/>
    <w:rsid w:val="7BADC943"/>
    <w:rsid w:val="7BB64D0B"/>
    <w:rsid w:val="7BB68B63"/>
    <w:rsid w:val="7BBB87FE"/>
    <w:rsid w:val="7BBD2882"/>
    <w:rsid w:val="7BBF0B0C"/>
    <w:rsid w:val="7BBFBFB5"/>
    <w:rsid w:val="7BC61434"/>
    <w:rsid w:val="7BCDAD9D"/>
    <w:rsid w:val="7BCDD3D9"/>
    <w:rsid w:val="7BD36C58"/>
    <w:rsid w:val="7BD39F11"/>
    <w:rsid w:val="7BDE08D2"/>
    <w:rsid w:val="7BDF0A3D"/>
    <w:rsid w:val="7BDFB77F"/>
    <w:rsid w:val="7BDFC4A1"/>
    <w:rsid w:val="7BDFF9CE"/>
    <w:rsid w:val="7BE5EB75"/>
    <w:rsid w:val="7BE9B1CA"/>
    <w:rsid w:val="7BED3D0E"/>
    <w:rsid w:val="7BEF2FF4"/>
    <w:rsid w:val="7BF3553C"/>
    <w:rsid w:val="7BF70227"/>
    <w:rsid w:val="7BF70503"/>
    <w:rsid w:val="7BF7767A"/>
    <w:rsid w:val="7BF77950"/>
    <w:rsid w:val="7BF9FCAB"/>
    <w:rsid w:val="7BFB6422"/>
    <w:rsid w:val="7BFB68E0"/>
    <w:rsid w:val="7BFCF3D0"/>
    <w:rsid w:val="7BFCFEA6"/>
    <w:rsid w:val="7BFD31FE"/>
    <w:rsid w:val="7BFD3CB4"/>
    <w:rsid w:val="7BFD46B9"/>
    <w:rsid w:val="7BFD4EAC"/>
    <w:rsid w:val="7BFD7957"/>
    <w:rsid w:val="7BFDD96F"/>
    <w:rsid w:val="7BFF0ADA"/>
    <w:rsid w:val="7BFF44AF"/>
    <w:rsid w:val="7BFFBAA0"/>
    <w:rsid w:val="7BFFE5DE"/>
    <w:rsid w:val="7C0E9421"/>
    <w:rsid w:val="7C5613B9"/>
    <w:rsid w:val="7C5BAC32"/>
    <w:rsid w:val="7C5FFF88"/>
    <w:rsid w:val="7C7DBDE6"/>
    <w:rsid w:val="7C7E5ECF"/>
    <w:rsid w:val="7C9CD422"/>
    <w:rsid w:val="7CAFF90B"/>
    <w:rsid w:val="7CCC4E1B"/>
    <w:rsid w:val="7CCD19E8"/>
    <w:rsid w:val="7CD7774B"/>
    <w:rsid w:val="7CE56D4F"/>
    <w:rsid w:val="7CE7B5C3"/>
    <w:rsid w:val="7CEF5D8A"/>
    <w:rsid w:val="7CEF9884"/>
    <w:rsid w:val="7CF3732B"/>
    <w:rsid w:val="7CF93314"/>
    <w:rsid w:val="7CFC2178"/>
    <w:rsid w:val="7CFD0F8A"/>
    <w:rsid w:val="7CFD28DF"/>
    <w:rsid w:val="7CFECEBF"/>
    <w:rsid w:val="7D391554"/>
    <w:rsid w:val="7D4756EB"/>
    <w:rsid w:val="7D5D7030"/>
    <w:rsid w:val="7D5F4F02"/>
    <w:rsid w:val="7D6D8998"/>
    <w:rsid w:val="7D6F0C9A"/>
    <w:rsid w:val="7D6F352A"/>
    <w:rsid w:val="7D6F3910"/>
    <w:rsid w:val="7D6FE9D7"/>
    <w:rsid w:val="7D76010E"/>
    <w:rsid w:val="7D774788"/>
    <w:rsid w:val="7D777D02"/>
    <w:rsid w:val="7D77F9B3"/>
    <w:rsid w:val="7D7B3202"/>
    <w:rsid w:val="7D7B36DA"/>
    <w:rsid w:val="7D7E068E"/>
    <w:rsid w:val="7D7E8273"/>
    <w:rsid w:val="7D7F0D90"/>
    <w:rsid w:val="7D7F7598"/>
    <w:rsid w:val="7D7FA368"/>
    <w:rsid w:val="7D9D852C"/>
    <w:rsid w:val="7D9D9BD6"/>
    <w:rsid w:val="7DABBEF9"/>
    <w:rsid w:val="7DAF8092"/>
    <w:rsid w:val="7DB59842"/>
    <w:rsid w:val="7DBA95B7"/>
    <w:rsid w:val="7DBBEFEC"/>
    <w:rsid w:val="7DBC2682"/>
    <w:rsid w:val="7DBC2DA0"/>
    <w:rsid w:val="7DBE2689"/>
    <w:rsid w:val="7DBFDBD8"/>
    <w:rsid w:val="7DC1A522"/>
    <w:rsid w:val="7DC9B874"/>
    <w:rsid w:val="7DCEF988"/>
    <w:rsid w:val="7DCF17DE"/>
    <w:rsid w:val="7DD2BEBC"/>
    <w:rsid w:val="7DD75E8C"/>
    <w:rsid w:val="7DDD53AB"/>
    <w:rsid w:val="7DE3FC67"/>
    <w:rsid w:val="7DE74294"/>
    <w:rsid w:val="7DEB4D6C"/>
    <w:rsid w:val="7DEB6417"/>
    <w:rsid w:val="7DEEF13A"/>
    <w:rsid w:val="7DEF58EC"/>
    <w:rsid w:val="7DF431E0"/>
    <w:rsid w:val="7DF5C71D"/>
    <w:rsid w:val="7DF7E10D"/>
    <w:rsid w:val="7DF9CBD1"/>
    <w:rsid w:val="7DFB0CEB"/>
    <w:rsid w:val="7DFB3DEC"/>
    <w:rsid w:val="7DFD1B2E"/>
    <w:rsid w:val="7DFD3525"/>
    <w:rsid w:val="7DFE3109"/>
    <w:rsid w:val="7DFF0C6B"/>
    <w:rsid w:val="7DFF2E5B"/>
    <w:rsid w:val="7DFF2F73"/>
    <w:rsid w:val="7DFF384D"/>
    <w:rsid w:val="7DFF3865"/>
    <w:rsid w:val="7DFF3AEA"/>
    <w:rsid w:val="7DFF4D72"/>
    <w:rsid w:val="7DFF576B"/>
    <w:rsid w:val="7DFF8617"/>
    <w:rsid w:val="7DFF8E5B"/>
    <w:rsid w:val="7DFF9FE5"/>
    <w:rsid w:val="7DFFA1BC"/>
    <w:rsid w:val="7DFFCA57"/>
    <w:rsid w:val="7DFFF13A"/>
    <w:rsid w:val="7E2FE81B"/>
    <w:rsid w:val="7E4334E4"/>
    <w:rsid w:val="7E55870F"/>
    <w:rsid w:val="7E5F9FD1"/>
    <w:rsid w:val="7E6B0702"/>
    <w:rsid w:val="7E6B2392"/>
    <w:rsid w:val="7E733626"/>
    <w:rsid w:val="7E773249"/>
    <w:rsid w:val="7E77B063"/>
    <w:rsid w:val="7E7B3FD3"/>
    <w:rsid w:val="7E7F55D8"/>
    <w:rsid w:val="7E7FA47E"/>
    <w:rsid w:val="7E7FC981"/>
    <w:rsid w:val="7E97B41B"/>
    <w:rsid w:val="7E9EC7A4"/>
    <w:rsid w:val="7E9F5712"/>
    <w:rsid w:val="7E9FD8B5"/>
    <w:rsid w:val="7EA50D2E"/>
    <w:rsid w:val="7EBB6275"/>
    <w:rsid w:val="7EBF1446"/>
    <w:rsid w:val="7EBF5D96"/>
    <w:rsid w:val="7EC74399"/>
    <w:rsid w:val="7ED44A70"/>
    <w:rsid w:val="7ED7C165"/>
    <w:rsid w:val="7ED9B44A"/>
    <w:rsid w:val="7EDD1F1F"/>
    <w:rsid w:val="7EDD83CE"/>
    <w:rsid w:val="7EDEBC3D"/>
    <w:rsid w:val="7EE3F211"/>
    <w:rsid w:val="7EE71CAF"/>
    <w:rsid w:val="7EEE216B"/>
    <w:rsid w:val="7EEF28D0"/>
    <w:rsid w:val="7EEFAFD1"/>
    <w:rsid w:val="7EF5390B"/>
    <w:rsid w:val="7EF6E7CC"/>
    <w:rsid w:val="7EF77D9E"/>
    <w:rsid w:val="7EF77DEB"/>
    <w:rsid w:val="7EF793AB"/>
    <w:rsid w:val="7EF7C1AD"/>
    <w:rsid w:val="7EF7DC3C"/>
    <w:rsid w:val="7EF9A194"/>
    <w:rsid w:val="7EFB4C2E"/>
    <w:rsid w:val="7EFB6ADD"/>
    <w:rsid w:val="7EFB8B6E"/>
    <w:rsid w:val="7EFBF303"/>
    <w:rsid w:val="7EFCE013"/>
    <w:rsid w:val="7EFE0855"/>
    <w:rsid w:val="7EFE7682"/>
    <w:rsid w:val="7EFF5B73"/>
    <w:rsid w:val="7EFF6437"/>
    <w:rsid w:val="7EFFB6D1"/>
    <w:rsid w:val="7EFFFA32"/>
    <w:rsid w:val="7F070B71"/>
    <w:rsid w:val="7F0FA762"/>
    <w:rsid w:val="7F11C313"/>
    <w:rsid w:val="7F1F3244"/>
    <w:rsid w:val="7F27B431"/>
    <w:rsid w:val="7F2FA2EC"/>
    <w:rsid w:val="7F361B48"/>
    <w:rsid w:val="7F3BAD83"/>
    <w:rsid w:val="7F3F337D"/>
    <w:rsid w:val="7F3F4FF7"/>
    <w:rsid w:val="7F3F82BD"/>
    <w:rsid w:val="7F3F935F"/>
    <w:rsid w:val="7F3FE003"/>
    <w:rsid w:val="7F4F1B97"/>
    <w:rsid w:val="7F4F6368"/>
    <w:rsid w:val="7F543C98"/>
    <w:rsid w:val="7F553085"/>
    <w:rsid w:val="7F55E64E"/>
    <w:rsid w:val="7F55F06E"/>
    <w:rsid w:val="7F570496"/>
    <w:rsid w:val="7F5927D6"/>
    <w:rsid w:val="7F5B70DA"/>
    <w:rsid w:val="7F5BCA5B"/>
    <w:rsid w:val="7F5C7E7D"/>
    <w:rsid w:val="7F5E12D8"/>
    <w:rsid w:val="7F5E8B0A"/>
    <w:rsid w:val="7F5F63A6"/>
    <w:rsid w:val="7F5FC39C"/>
    <w:rsid w:val="7F5FD6D9"/>
    <w:rsid w:val="7F65CFE3"/>
    <w:rsid w:val="7F67E287"/>
    <w:rsid w:val="7F6B2796"/>
    <w:rsid w:val="7F6E081B"/>
    <w:rsid w:val="7F6ED158"/>
    <w:rsid w:val="7F6F7195"/>
    <w:rsid w:val="7F6FE87C"/>
    <w:rsid w:val="7F71EFF7"/>
    <w:rsid w:val="7F723FB4"/>
    <w:rsid w:val="7F7396D4"/>
    <w:rsid w:val="7F73F613"/>
    <w:rsid w:val="7F76D9B9"/>
    <w:rsid w:val="7F7773D4"/>
    <w:rsid w:val="7F77AEE9"/>
    <w:rsid w:val="7F77D9F5"/>
    <w:rsid w:val="7F7AEB4D"/>
    <w:rsid w:val="7F7B3D0D"/>
    <w:rsid w:val="7F7BAC91"/>
    <w:rsid w:val="7F7E51B1"/>
    <w:rsid w:val="7F7F2174"/>
    <w:rsid w:val="7F7F2DB3"/>
    <w:rsid w:val="7F7F4A2B"/>
    <w:rsid w:val="7F7F4C7E"/>
    <w:rsid w:val="7F7F8272"/>
    <w:rsid w:val="7F7F95B0"/>
    <w:rsid w:val="7F7FAA09"/>
    <w:rsid w:val="7F7FB480"/>
    <w:rsid w:val="7F7FDF78"/>
    <w:rsid w:val="7F7FF33C"/>
    <w:rsid w:val="7F831434"/>
    <w:rsid w:val="7F875E6D"/>
    <w:rsid w:val="7F8D58E0"/>
    <w:rsid w:val="7F8E927D"/>
    <w:rsid w:val="7F8F4FCA"/>
    <w:rsid w:val="7F91DACF"/>
    <w:rsid w:val="7F928234"/>
    <w:rsid w:val="7F93DA90"/>
    <w:rsid w:val="7F97AA2D"/>
    <w:rsid w:val="7F997846"/>
    <w:rsid w:val="7F99D4D2"/>
    <w:rsid w:val="7F9BA99B"/>
    <w:rsid w:val="7F9D2DE0"/>
    <w:rsid w:val="7F9F4C48"/>
    <w:rsid w:val="7F9F71B6"/>
    <w:rsid w:val="7FA7CBFF"/>
    <w:rsid w:val="7FAD2B53"/>
    <w:rsid w:val="7FAF1AEA"/>
    <w:rsid w:val="7FAF3840"/>
    <w:rsid w:val="7FAF3994"/>
    <w:rsid w:val="7FB0234B"/>
    <w:rsid w:val="7FB42804"/>
    <w:rsid w:val="7FB73179"/>
    <w:rsid w:val="7FB7A4C4"/>
    <w:rsid w:val="7FBA92B0"/>
    <w:rsid w:val="7FBABCE1"/>
    <w:rsid w:val="7FBB11E6"/>
    <w:rsid w:val="7FBB448C"/>
    <w:rsid w:val="7FBB8CE9"/>
    <w:rsid w:val="7FBC41AE"/>
    <w:rsid w:val="7FBD43AA"/>
    <w:rsid w:val="7FBE6950"/>
    <w:rsid w:val="7FBF1839"/>
    <w:rsid w:val="7FBF5084"/>
    <w:rsid w:val="7FBF5535"/>
    <w:rsid w:val="7FBF624A"/>
    <w:rsid w:val="7FBFC3F8"/>
    <w:rsid w:val="7FBFCE1F"/>
    <w:rsid w:val="7FBFDE40"/>
    <w:rsid w:val="7FBFE6AC"/>
    <w:rsid w:val="7FBFE758"/>
    <w:rsid w:val="7FCB11BF"/>
    <w:rsid w:val="7FCB381D"/>
    <w:rsid w:val="7FCD475D"/>
    <w:rsid w:val="7FCE4F34"/>
    <w:rsid w:val="7FCF4C2C"/>
    <w:rsid w:val="7FCF4E40"/>
    <w:rsid w:val="7FCFE786"/>
    <w:rsid w:val="7FD2F8B0"/>
    <w:rsid w:val="7FD3D197"/>
    <w:rsid w:val="7FD51AF5"/>
    <w:rsid w:val="7FD5252F"/>
    <w:rsid w:val="7FD661F9"/>
    <w:rsid w:val="7FD73C72"/>
    <w:rsid w:val="7FD77CB1"/>
    <w:rsid w:val="7FD790AB"/>
    <w:rsid w:val="7FD7C3A8"/>
    <w:rsid w:val="7FD7C48A"/>
    <w:rsid w:val="7FD7ECD2"/>
    <w:rsid w:val="7FD7FD14"/>
    <w:rsid w:val="7FD93503"/>
    <w:rsid w:val="7FDB7653"/>
    <w:rsid w:val="7FDBC594"/>
    <w:rsid w:val="7FDBEACE"/>
    <w:rsid w:val="7FDD02E1"/>
    <w:rsid w:val="7FDDA231"/>
    <w:rsid w:val="7FDDC3FD"/>
    <w:rsid w:val="7FDE0AF4"/>
    <w:rsid w:val="7FDEF3ED"/>
    <w:rsid w:val="7FDF0E65"/>
    <w:rsid w:val="7FDFA674"/>
    <w:rsid w:val="7FDFBAAB"/>
    <w:rsid w:val="7FDFDC3E"/>
    <w:rsid w:val="7FDFEBDE"/>
    <w:rsid w:val="7FE2416F"/>
    <w:rsid w:val="7FE2E5CB"/>
    <w:rsid w:val="7FE7159D"/>
    <w:rsid w:val="7FE752E9"/>
    <w:rsid w:val="7FE7BFAA"/>
    <w:rsid w:val="7FE99E24"/>
    <w:rsid w:val="7FE9B8E2"/>
    <w:rsid w:val="7FEA4891"/>
    <w:rsid w:val="7FEAC90C"/>
    <w:rsid w:val="7FEB29C1"/>
    <w:rsid w:val="7FEBB19F"/>
    <w:rsid w:val="7FED83F9"/>
    <w:rsid w:val="7FEDA375"/>
    <w:rsid w:val="7FEDEC81"/>
    <w:rsid w:val="7FEEC758"/>
    <w:rsid w:val="7FEECCE3"/>
    <w:rsid w:val="7FEF0072"/>
    <w:rsid w:val="7FEF071D"/>
    <w:rsid w:val="7FEF5E90"/>
    <w:rsid w:val="7FEF76E3"/>
    <w:rsid w:val="7FEF935F"/>
    <w:rsid w:val="7FEFF932"/>
    <w:rsid w:val="7FF269AF"/>
    <w:rsid w:val="7FF33DF6"/>
    <w:rsid w:val="7FF58026"/>
    <w:rsid w:val="7FF58CBF"/>
    <w:rsid w:val="7FF6359F"/>
    <w:rsid w:val="7FF65140"/>
    <w:rsid w:val="7FF654AD"/>
    <w:rsid w:val="7FF660EB"/>
    <w:rsid w:val="7FF66CAF"/>
    <w:rsid w:val="7FF68D1B"/>
    <w:rsid w:val="7FF6A5D0"/>
    <w:rsid w:val="7FF70FBC"/>
    <w:rsid w:val="7FF78720"/>
    <w:rsid w:val="7FF7D2C3"/>
    <w:rsid w:val="7FF88663"/>
    <w:rsid w:val="7FF97F5B"/>
    <w:rsid w:val="7FFA7CE4"/>
    <w:rsid w:val="7FFAE6F7"/>
    <w:rsid w:val="7FFB1D24"/>
    <w:rsid w:val="7FFB2AF9"/>
    <w:rsid w:val="7FFB57B8"/>
    <w:rsid w:val="7FFB6742"/>
    <w:rsid w:val="7FFB694D"/>
    <w:rsid w:val="7FFBC1F2"/>
    <w:rsid w:val="7FFC04ED"/>
    <w:rsid w:val="7FFC0D26"/>
    <w:rsid w:val="7FFC8EC1"/>
    <w:rsid w:val="7FFD6DD7"/>
    <w:rsid w:val="7FFD7933"/>
    <w:rsid w:val="7FFD896D"/>
    <w:rsid w:val="7FFDAC90"/>
    <w:rsid w:val="7FFDAFF9"/>
    <w:rsid w:val="7FFEC675"/>
    <w:rsid w:val="7FFF166B"/>
    <w:rsid w:val="7FFF1743"/>
    <w:rsid w:val="7FFF1EE1"/>
    <w:rsid w:val="7FFF221F"/>
    <w:rsid w:val="7FFF2E4B"/>
    <w:rsid w:val="7FFF3545"/>
    <w:rsid w:val="7FFF3676"/>
    <w:rsid w:val="7FFF4A23"/>
    <w:rsid w:val="7FFF4FEC"/>
    <w:rsid w:val="7FFF56A7"/>
    <w:rsid w:val="7FFF6A4B"/>
    <w:rsid w:val="7FFF7C76"/>
    <w:rsid w:val="7FFF89DD"/>
    <w:rsid w:val="7FFF92F1"/>
    <w:rsid w:val="7FFF94FC"/>
    <w:rsid w:val="7FFF954D"/>
    <w:rsid w:val="7FFFB068"/>
    <w:rsid w:val="7FFFBCF7"/>
    <w:rsid w:val="7FFFC7DF"/>
    <w:rsid w:val="7FFFC802"/>
    <w:rsid w:val="7FFFE0E9"/>
    <w:rsid w:val="7FFFEC33"/>
    <w:rsid w:val="7FFFEC79"/>
    <w:rsid w:val="7FFFF5A5"/>
    <w:rsid w:val="83FEFF8D"/>
    <w:rsid w:val="86DF5338"/>
    <w:rsid w:val="86F7F711"/>
    <w:rsid w:val="89E78379"/>
    <w:rsid w:val="8AAF7178"/>
    <w:rsid w:val="8BD385BE"/>
    <w:rsid w:val="8CCB913E"/>
    <w:rsid w:val="8ED55334"/>
    <w:rsid w:val="8EF11B61"/>
    <w:rsid w:val="8EF74CB7"/>
    <w:rsid w:val="8F2D9997"/>
    <w:rsid w:val="8F35443B"/>
    <w:rsid w:val="8F4FAAD5"/>
    <w:rsid w:val="8FBD42E8"/>
    <w:rsid w:val="8FCF7103"/>
    <w:rsid w:val="8FE9EB47"/>
    <w:rsid w:val="907FACC4"/>
    <w:rsid w:val="93BF6979"/>
    <w:rsid w:val="93E5D2A2"/>
    <w:rsid w:val="951F3E5A"/>
    <w:rsid w:val="959BA79E"/>
    <w:rsid w:val="95D37B09"/>
    <w:rsid w:val="95FA62D9"/>
    <w:rsid w:val="96796FDB"/>
    <w:rsid w:val="96D24E45"/>
    <w:rsid w:val="96DFEAB3"/>
    <w:rsid w:val="96EBEB6A"/>
    <w:rsid w:val="96EDD623"/>
    <w:rsid w:val="96F725B9"/>
    <w:rsid w:val="96FB7FBA"/>
    <w:rsid w:val="96FE3AB2"/>
    <w:rsid w:val="96FF3F48"/>
    <w:rsid w:val="977D2978"/>
    <w:rsid w:val="97BE9F7C"/>
    <w:rsid w:val="97D59475"/>
    <w:rsid w:val="97FD3D78"/>
    <w:rsid w:val="97FD9B1D"/>
    <w:rsid w:val="97FDF3A4"/>
    <w:rsid w:val="99B5D31F"/>
    <w:rsid w:val="9A3F0700"/>
    <w:rsid w:val="9AFE72FE"/>
    <w:rsid w:val="9B255510"/>
    <w:rsid w:val="9B3D1B5D"/>
    <w:rsid w:val="9B3F3DE9"/>
    <w:rsid w:val="9B6DC95B"/>
    <w:rsid w:val="9B7E633E"/>
    <w:rsid w:val="9BAF93B6"/>
    <w:rsid w:val="9BB7244A"/>
    <w:rsid w:val="9BBCF153"/>
    <w:rsid w:val="9BCBA99D"/>
    <w:rsid w:val="9BDF416A"/>
    <w:rsid w:val="9BE6FDE8"/>
    <w:rsid w:val="9BEFE8AC"/>
    <w:rsid w:val="9C808BCE"/>
    <w:rsid w:val="9CACEF87"/>
    <w:rsid w:val="9CF7B0BE"/>
    <w:rsid w:val="9CFBF633"/>
    <w:rsid w:val="9D9B9A08"/>
    <w:rsid w:val="9D9BDAF7"/>
    <w:rsid w:val="9DDC66BF"/>
    <w:rsid w:val="9DF7BEC9"/>
    <w:rsid w:val="9DFEE648"/>
    <w:rsid w:val="9E7785E9"/>
    <w:rsid w:val="9EBD7F6C"/>
    <w:rsid w:val="9ECF70E8"/>
    <w:rsid w:val="9EDCADE9"/>
    <w:rsid w:val="9EE7176F"/>
    <w:rsid w:val="9EEF89A8"/>
    <w:rsid w:val="9EFB0704"/>
    <w:rsid w:val="9F2FC32C"/>
    <w:rsid w:val="9F5E5DDA"/>
    <w:rsid w:val="9F779077"/>
    <w:rsid w:val="9F7F08EB"/>
    <w:rsid w:val="9FAE9F7C"/>
    <w:rsid w:val="9FD2462E"/>
    <w:rsid w:val="9FD7FC1C"/>
    <w:rsid w:val="9FDFEE47"/>
    <w:rsid w:val="9FEF3745"/>
    <w:rsid w:val="9FEF872D"/>
    <w:rsid w:val="9FEFE692"/>
    <w:rsid w:val="9FF3D2AE"/>
    <w:rsid w:val="9FF77092"/>
    <w:rsid w:val="9FF786A4"/>
    <w:rsid w:val="9FF9A735"/>
    <w:rsid w:val="9FFF238B"/>
    <w:rsid w:val="9FFF3770"/>
    <w:rsid w:val="9FFF3FB5"/>
    <w:rsid w:val="A2FBFFCF"/>
    <w:rsid w:val="A4B959F4"/>
    <w:rsid w:val="A4BE9926"/>
    <w:rsid w:val="A5F4DAD0"/>
    <w:rsid w:val="A5FD6ED6"/>
    <w:rsid w:val="A6F65155"/>
    <w:rsid w:val="A6F75D03"/>
    <w:rsid w:val="A6FC65BA"/>
    <w:rsid w:val="A6FD0BE0"/>
    <w:rsid w:val="A6FD6C8D"/>
    <w:rsid w:val="A7674A1C"/>
    <w:rsid w:val="A7704671"/>
    <w:rsid w:val="A7B970D8"/>
    <w:rsid w:val="A7BDFC08"/>
    <w:rsid w:val="A7BF11D4"/>
    <w:rsid w:val="A7DDB039"/>
    <w:rsid w:val="A7E66A7E"/>
    <w:rsid w:val="A7FBDCDE"/>
    <w:rsid w:val="A897B6BE"/>
    <w:rsid w:val="A917EDE6"/>
    <w:rsid w:val="A97BE857"/>
    <w:rsid w:val="A9A337C9"/>
    <w:rsid w:val="AA3F405D"/>
    <w:rsid w:val="AABE2747"/>
    <w:rsid w:val="AB7175A5"/>
    <w:rsid w:val="ABD81758"/>
    <w:rsid w:val="ABED78A1"/>
    <w:rsid w:val="ABFEB5AA"/>
    <w:rsid w:val="ABFFBC59"/>
    <w:rsid w:val="AC63FAA9"/>
    <w:rsid w:val="ACF707AF"/>
    <w:rsid w:val="ACFDC944"/>
    <w:rsid w:val="AD0E352B"/>
    <w:rsid w:val="AD73AC8E"/>
    <w:rsid w:val="AD7F0AEE"/>
    <w:rsid w:val="ADBFDD21"/>
    <w:rsid w:val="ADD6F8D9"/>
    <w:rsid w:val="ADFEC0AD"/>
    <w:rsid w:val="ADFFB036"/>
    <w:rsid w:val="ADFFBDEB"/>
    <w:rsid w:val="AE57263A"/>
    <w:rsid w:val="AE5B7DD6"/>
    <w:rsid w:val="AE7D7358"/>
    <w:rsid w:val="AE7F2A6E"/>
    <w:rsid w:val="AEBF92B5"/>
    <w:rsid w:val="AEFBECBA"/>
    <w:rsid w:val="AEFC95D8"/>
    <w:rsid w:val="AEFE5808"/>
    <w:rsid w:val="AEFF2F71"/>
    <w:rsid w:val="AEFFD003"/>
    <w:rsid w:val="AF7E316C"/>
    <w:rsid w:val="AF968E94"/>
    <w:rsid w:val="AF999BB9"/>
    <w:rsid w:val="AFDE9B96"/>
    <w:rsid w:val="AFEF4651"/>
    <w:rsid w:val="AFEFE35F"/>
    <w:rsid w:val="AFFB1B3A"/>
    <w:rsid w:val="AFFBFF57"/>
    <w:rsid w:val="AFFDB5B1"/>
    <w:rsid w:val="AFFDFB55"/>
    <w:rsid w:val="AFFF6134"/>
    <w:rsid w:val="AFFF73C9"/>
    <w:rsid w:val="AFFF7945"/>
    <w:rsid w:val="AFFF7E19"/>
    <w:rsid w:val="AFFF9B2D"/>
    <w:rsid w:val="AFFFEE72"/>
    <w:rsid w:val="B0EFEFC1"/>
    <w:rsid w:val="B1C9D12C"/>
    <w:rsid w:val="B2E939DC"/>
    <w:rsid w:val="B2FE52A0"/>
    <w:rsid w:val="B33DD26C"/>
    <w:rsid w:val="B33DE857"/>
    <w:rsid w:val="B37371E9"/>
    <w:rsid w:val="B3A9B9D2"/>
    <w:rsid w:val="B3D33CEC"/>
    <w:rsid w:val="B3DFC6E7"/>
    <w:rsid w:val="B3EC3A8F"/>
    <w:rsid w:val="B3F59D99"/>
    <w:rsid w:val="B3FDCE18"/>
    <w:rsid w:val="B3FDF08C"/>
    <w:rsid w:val="B57BCC0A"/>
    <w:rsid w:val="B5B579B6"/>
    <w:rsid w:val="B5B7E015"/>
    <w:rsid w:val="B5DB055B"/>
    <w:rsid w:val="B5DF0224"/>
    <w:rsid w:val="B5EB6918"/>
    <w:rsid w:val="B639C67E"/>
    <w:rsid w:val="B659EC9B"/>
    <w:rsid w:val="B69FD92B"/>
    <w:rsid w:val="B6B74933"/>
    <w:rsid w:val="B6BF952C"/>
    <w:rsid w:val="B6C7B6AF"/>
    <w:rsid w:val="B6D771ED"/>
    <w:rsid w:val="B6DF5D59"/>
    <w:rsid w:val="B6ED7C0A"/>
    <w:rsid w:val="B6FF8735"/>
    <w:rsid w:val="B6FF97CF"/>
    <w:rsid w:val="B72BCCFC"/>
    <w:rsid w:val="B73BBFBB"/>
    <w:rsid w:val="B75DB762"/>
    <w:rsid w:val="B77D1777"/>
    <w:rsid w:val="B77DD679"/>
    <w:rsid w:val="B79F50FB"/>
    <w:rsid w:val="B79FC911"/>
    <w:rsid w:val="B7A90295"/>
    <w:rsid w:val="B7BB7CD1"/>
    <w:rsid w:val="B7BD6B55"/>
    <w:rsid w:val="B7BF1C62"/>
    <w:rsid w:val="B7CD1FE0"/>
    <w:rsid w:val="B7D225BD"/>
    <w:rsid w:val="B7DF9456"/>
    <w:rsid w:val="B7EB76AE"/>
    <w:rsid w:val="B7EFBDA5"/>
    <w:rsid w:val="B7F6BE2D"/>
    <w:rsid w:val="B7F700D9"/>
    <w:rsid w:val="B7F8E7E6"/>
    <w:rsid w:val="B7FFA6DB"/>
    <w:rsid w:val="B85EC514"/>
    <w:rsid w:val="B99FB273"/>
    <w:rsid w:val="B9BDC958"/>
    <w:rsid w:val="B9D596F1"/>
    <w:rsid w:val="B9DBFF38"/>
    <w:rsid w:val="B9E68BE6"/>
    <w:rsid w:val="B9EE80A8"/>
    <w:rsid w:val="B9FFE3A9"/>
    <w:rsid w:val="BA78A5B7"/>
    <w:rsid w:val="BA7E77CE"/>
    <w:rsid w:val="BAAE7E38"/>
    <w:rsid w:val="BAAF60BB"/>
    <w:rsid w:val="BAB1DE22"/>
    <w:rsid w:val="BAB47067"/>
    <w:rsid w:val="BABAE54B"/>
    <w:rsid w:val="BAD6A009"/>
    <w:rsid w:val="BAD7F2D5"/>
    <w:rsid w:val="BADF1AFC"/>
    <w:rsid w:val="BAFC4FC7"/>
    <w:rsid w:val="BB4B5514"/>
    <w:rsid w:val="BB5122B1"/>
    <w:rsid w:val="BB638487"/>
    <w:rsid w:val="BB7E6C7D"/>
    <w:rsid w:val="BB97CCCC"/>
    <w:rsid w:val="BBAF0BF3"/>
    <w:rsid w:val="BBB94DB1"/>
    <w:rsid w:val="BBBFFEBA"/>
    <w:rsid w:val="BBD62060"/>
    <w:rsid w:val="BBDAA64B"/>
    <w:rsid w:val="BBDFAA7C"/>
    <w:rsid w:val="BBDFB67C"/>
    <w:rsid w:val="BBE7B946"/>
    <w:rsid w:val="BBF78062"/>
    <w:rsid w:val="BBFD2F7C"/>
    <w:rsid w:val="BBFFE57D"/>
    <w:rsid w:val="BC1D9230"/>
    <w:rsid w:val="BC9D5DF1"/>
    <w:rsid w:val="BCD37E34"/>
    <w:rsid w:val="BCEF7C06"/>
    <w:rsid w:val="BCFB12A7"/>
    <w:rsid w:val="BCFD2472"/>
    <w:rsid w:val="BCFEF3A4"/>
    <w:rsid w:val="BCFF1109"/>
    <w:rsid w:val="BCFF1F2C"/>
    <w:rsid w:val="BD225B53"/>
    <w:rsid w:val="BD3F1686"/>
    <w:rsid w:val="BD6F37DD"/>
    <w:rsid w:val="BDB96AD8"/>
    <w:rsid w:val="BDBD2622"/>
    <w:rsid w:val="BDCF680B"/>
    <w:rsid w:val="BDCF9D6A"/>
    <w:rsid w:val="BDDDE38A"/>
    <w:rsid w:val="BDDFF561"/>
    <w:rsid w:val="BDE79025"/>
    <w:rsid w:val="BDFFF0CB"/>
    <w:rsid w:val="BDFFF7FF"/>
    <w:rsid w:val="BE375677"/>
    <w:rsid w:val="BE787935"/>
    <w:rsid w:val="BE7B8AF8"/>
    <w:rsid w:val="BE7BE70B"/>
    <w:rsid w:val="BE7E8F30"/>
    <w:rsid w:val="BE7F5AFD"/>
    <w:rsid w:val="BE7F9F2A"/>
    <w:rsid w:val="BE936D7B"/>
    <w:rsid w:val="BE9497DF"/>
    <w:rsid w:val="BE9F01FD"/>
    <w:rsid w:val="BEAF2250"/>
    <w:rsid w:val="BEB74078"/>
    <w:rsid w:val="BEB9EAB3"/>
    <w:rsid w:val="BEBCD01B"/>
    <w:rsid w:val="BEBD667D"/>
    <w:rsid w:val="BEBEDB60"/>
    <w:rsid w:val="BEDE0B72"/>
    <w:rsid w:val="BEEF448D"/>
    <w:rsid w:val="BEF1E2C8"/>
    <w:rsid w:val="BEF5959A"/>
    <w:rsid w:val="BEF6BF10"/>
    <w:rsid w:val="BEF7CE76"/>
    <w:rsid w:val="BEFBC170"/>
    <w:rsid w:val="BEFE0866"/>
    <w:rsid w:val="BEFE1F67"/>
    <w:rsid w:val="BEFF5021"/>
    <w:rsid w:val="BF17EB6E"/>
    <w:rsid w:val="BF1CB51D"/>
    <w:rsid w:val="BF1DDDE4"/>
    <w:rsid w:val="BF2FC426"/>
    <w:rsid w:val="BF576BF5"/>
    <w:rsid w:val="BF57A4DD"/>
    <w:rsid w:val="BF5D5021"/>
    <w:rsid w:val="BF690AB4"/>
    <w:rsid w:val="BF6BB7B0"/>
    <w:rsid w:val="BF7907FA"/>
    <w:rsid w:val="BF79F695"/>
    <w:rsid w:val="BF7B3053"/>
    <w:rsid w:val="BF7D8F7E"/>
    <w:rsid w:val="BF7F1DAA"/>
    <w:rsid w:val="BF7F4C18"/>
    <w:rsid w:val="BF7F676B"/>
    <w:rsid w:val="BF7F8425"/>
    <w:rsid w:val="BF8F0C65"/>
    <w:rsid w:val="BF9977EA"/>
    <w:rsid w:val="BF9F883E"/>
    <w:rsid w:val="BFAB014A"/>
    <w:rsid w:val="BFAFDD7B"/>
    <w:rsid w:val="BFB77BE3"/>
    <w:rsid w:val="BFBD8BEE"/>
    <w:rsid w:val="BFBE19EF"/>
    <w:rsid w:val="BFBE3D64"/>
    <w:rsid w:val="BFC25328"/>
    <w:rsid w:val="BFCBF251"/>
    <w:rsid w:val="BFCD2737"/>
    <w:rsid w:val="BFCFFAF4"/>
    <w:rsid w:val="BFD2D9DA"/>
    <w:rsid w:val="BFD56A6B"/>
    <w:rsid w:val="BFDCB68C"/>
    <w:rsid w:val="BFDE78D8"/>
    <w:rsid w:val="BFDF64D4"/>
    <w:rsid w:val="BFDF9970"/>
    <w:rsid w:val="BFDFB6BE"/>
    <w:rsid w:val="BFDFFEE2"/>
    <w:rsid w:val="BFE3E4E9"/>
    <w:rsid w:val="BFE58841"/>
    <w:rsid w:val="BFE739A1"/>
    <w:rsid w:val="BFE7DA25"/>
    <w:rsid w:val="BFE7E707"/>
    <w:rsid w:val="BFEA57AF"/>
    <w:rsid w:val="BFEAC0C8"/>
    <w:rsid w:val="BFEB5847"/>
    <w:rsid w:val="BFEF0DA8"/>
    <w:rsid w:val="BFEF4185"/>
    <w:rsid w:val="BFEF6DB1"/>
    <w:rsid w:val="BFF27D69"/>
    <w:rsid w:val="BFF3A27D"/>
    <w:rsid w:val="BFF72FE9"/>
    <w:rsid w:val="BFFA323E"/>
    <w:rsid w:val="BFFD0D24"/>
    <w:rsid w:val="BFFD599E"/>
    <w:rsid w:val="BFFE19D0"/>
    <w:rsid w:val="BFFE791E"/>
    <w:rsid w:val="BFFEED10"/>
    <w:rsid w:val="BFFF04CB"/>
    <w:rsid w:val="BFFF1947"/>
    <w:rsid w:val="BFFF486C"/>
    <w:rsid w:val="BFFF604E"/>
    <w:rsid w:val="BFFF6EC6"/>
    <w:rsid w:val="BFFF9D7A"/>
    <w:rsid w:val="BFFF9FF1"/>
    <w:rsid w:val="BFFFF20A"/>
    <w:rsid w:val="C07FDF3E"/>
    <w:rsid w:val="C1AFB12C"/>
    <w:rsid w:val="C1AFE341"/>
    <w:rsid w:val="C3ED1930"/>
    <w:rsid w:val="C57F9BD9"/>
    <w:rsid w:val="C63B35A4"/>
    <w:rsid w:val="C65EEBF6"/>
    <w:rsid w:val="C6EA4DDB"/>
    <w:rsid w:val="C73FF4BC"/>
    <w:rsid w:val="C7EE2EFB"/>
    <w:rsid w:val="C7EF506A"/>
    <w:rsid w:val="C7FB4186"/>
    <w:rsid w:val="C8078793"/>
    <w:rsid w:val="C87E797C"/>
    <w:rsid w:val="C8ED2CDE"/>
    <w:rsid w:val="C916A304"/>
    <w:rsid w:val="C96ABFB8"/>
    <w:rsid w:val="C9AF181F"/>
    <w:rsid w:val="C9F7E25B"/>
    <w:rsid w:val="C9FF7E95"/>
    <w:rsid w:val="CA4EFE1A"/>
    <w:rsid w:val="CA6B0B44"/>
    <w:rsid w:val="CAFBC99A"/>
    <w:rsid w:val="CAFF13D0"/>
    <w:rsid w:val="CB7A5383"/>
    <w:rsid w:val="CB7D626F"/>
    <w:rsid w:val="CBDF70E1"/>
    <w:rsid w:val="CBFED718"/>
    <w:rsid w:val="CBFF0B39"/>
    <w:rsid w:val="CBFF9788"/>
    <w:rsid w:val="CC4EA5BE"/>
    <w:rsid w:val="CC4FC417"/>
    <w:rsid w:val="CCFDA419"/>
    <w:rsid w:val="CD975834"/>
    <w:rsid w:val="CDEAA526"/>
    <w:rsid w:val="CDFB8B8F"/>
    <w:rsid w:val="CDFF1094"/>
    <w:rsid w:val="CDFFAAC1"/>
    <w:rsid w:val="CDFFBF9F"/>
    <w:rsid w:val="CEB16B32"/>
    <w:rsid w:val="CEBD260B"/>
    <w:rsid w:val="CEBF9D38"/>
    <w:rsid w:val="CEDD8E26"/>
    <w:rsid w:val="CEE68FAD"/>
    <w:rsid w:val="CEEE111E"/>
    <w:rsid w:val="CEEED67C"/>
    <w:rsid w:val="CEFF3E6D"/>
    <w:rsid w:val="CEFF70A2"/>
    <w:rsid w:val="CEFF8B71"/>
    <w:rsid w:val="CF5DA7E5"/>
    <w:rsid w:val="CF77FAD9"/>
    <w:rsid w:val="CF7AC08E"/>
    <w:rsid w:val="CF7CA116"/>
    <w:rsid w:val="CF7DFCBB"/>
    <w:rsid w:val="CF9EE7F2"/>
    <w:rsid w:val="CFD7A71D"/>
    <w:rsid w:val="CFDBED14"/>
    <w:rsid w:val="CFEEE1FD"/>
    <w:rsid w:val="CFF9E9C6"/>
    <w:rsid w:val="CFFC6B0E"/>
    <w:rsid w:val="CFFD4A02"/>
    <w:rsid w:val="CFFEC196"/>
    <w:rsid w:val="CFFF0E24"/>
    <w:rsid w:val="D09B3620"/>
    <w:rsid w:val="D0F952C8"/>
    <w:rsid w:val="D1C9FCDC"/>
    <w:rsid w:val="D1DFB4EF"/>
    <w:rsid w:val="D1FFCA1F"/>
    <w:rsid w:val="D27FE0CC"/>
    <w:rsid w:val="D2F5FC20"/>
    <w:rsid w:val="D2FAD578"/>
    <w:rsid w:val="D37F7C69"/>
    <w:rsid w:val="D3BB1D13"/>
    <w:rsid w:val="D3DFB490"/>
    <w:rsid w:val="D3EEF49D"/>
    <w:rsid w:val="D3FF58DC"/>
    <w:rsid w:val="D3FFE10A"/>
    <w:rsid w:val="D4DD4C04"/>
    <w:rsid w:val="D4FB29B6"/>
    <w:rsid w:val="D51BB6AE"/>
    <w:rsid w:val="D57D7C32"/>
    <w:rsid w:val="D5A79742"/>
    <w:rsid w:val="D5AC8619"/>
    <w:rsid w:val="D5DEC4C2"/>
    <w:rsid w:val="D5F23436"/>
    <w:rsid w:val="D5F977B4"/>
    <w:rsid w:val="D5FF2B16"/>
    <w:rsid w:val="D5FF8394"/>
    <w:rsid w:val="D5FFB1DE"/>
    <w:rsid w:val="D6FB25F3"/>
    <w:rsid w:val="D6FBE80C"/>
    <w:rsid w:val="D71F53A6"/>
    <w:rsid w:val="D737EFC9"/>
    <w:rsid w:val="D73F2327"/>
    <w:rsid w:val="D73FDFDE"/>
    <w:rsid w:val="D7573562"/>
    <w:rsid w:val="D75DF8E2"/>
    <w:rsid w:val="D76D18A3"/>
    <w:rsid w:val="D77F2C6C"/>
    <w:rsid w:val="D795B511"/>
    <w:rsid w:val="D7B29E41"/>
    <w:rsid w:val="D7B74849"/>
    <w:rsid w:val="D7BECF93"/>
    <w:rsid w:val="D7BF1E66"/>
    <w:rsid w:val="D7BF438B"/>
    <w:rsid w:val="D7C3DFD2"/>
    <w:rsid w:val="D7C950E8"/>
    <w:rsid w:val="D7DFA6D7"/>
    <w:rsid w:val="D7DFC144"/>
    <w:rsid w:val="D7DFDE94"/>
    <w:rsid w:val="D7EF7D3F"/>
    <w:rsid w:val="D7F3E2B4"/>
    <w:rsid w:val="D7F3F4DF"/>
    <w:rsid w:val="D7F5110D"/>
    <w:rsid w:val="D7F97015"/>
    <w:rsid w:val="D7FF6E32"/>
    <w:rsid w:val="D7FF7437"/>
    <w:rsid w:val="D7FF7CEC"/>
    <w:rsid w:val="D87DCE75"/>
    <w:rsid w:val="D8F7441D"/>
    <w:rsid w:val="D92E1CCB"/>
    <w:rsid w:val="D93FB228"/>
    <w:rsid w:val="D97B406D"/>
    <w:rsid w:val="D99F7233"/>
    <w:rsid w:val="D9BCDAE8"/>
    <w:rsid w:val="D9CF0374"/>
    <w:rsid w:val="DA3F56A1"/>
    <w:rsid w:val="DA4B8B79"/>
    <w:rsid w:val="DAB6DFF3"/>
    <w:rsid w:val="DADB6B61"/>
    <w:rsid w:val="DAE7789E"/>
    <w:rsid w:val="DAFACD2B"/>
    <w:rsid w:val="DAFD85A0"/>
    <w:rsid w:val="DAFDADCD"/>
    <w:rsid w:val="DAFE0641"/>
    <w:rsid w:val="DAFE4CD3"/>
    <w:rsid w:val="DAFE596C"/>
    <w:rsid w:val="DB3FA478"/>
    <w:rsid w:val="DB5F0B7A"/>
    <w:rsid w:val="DB7AEBF7"/>
    <w:rsid w:val="DB7C0E7A"/>
    <w:rsid w:val="DBB3657B"/>
    <w:rsid w:val="DBBF018F"/>
    <w:rsid w:val="DBCA0368"/>
    <w:rsid w:val="DBDB6FEE"/>
    <w:rsid w:val="DBE4E9BA"/>
    <w:rsid w:val="DBEB8030"/>
    <w:rsid w:val="DBF68F18"/>
    <w:rsid w:val="DBFE0A05"/>
    <w:rsid w:val="DBFE90FF"/>
    <w:rsid w:val="DBFF0936"/>
    <w:rsid w:val="DBFF1ABD"/>
    <w:rsid w:val="DBFFD82E"/>
    <w:rsid w:val="DBFFF337"/>
    <w:rsid w:val="DC7F5E76"/>
    <w:rsid w:val="DCDD650A"/>
    <w:rsid w:val="DCE941BC"/>
    <w:rsid w:val="DCF3F202"/>
    <w:rsid w:val="DCFB504C"/>
    <w:rsid w:val="DCFF587A"/>
    <w:rsid w:val="DCFFBAEE"/>
    <w:rsid w:val="DD3A9EB6"/>
    <w:rsid w:val="DD5A8604"/>
    <w:rsid w:val="DD6D3A7B"/>
    <w:rsid w:val="DD7786EF"/>
    <w:rsid w:val="DD7A8F37"/>
    <w:rsid w:val="DD7E1493"/>
    <w:rsid w:val="DD7F15AC"/>
    <w:rsid w:val="DD7FB463"/>
    <w:rsid w:val="DDBAD2E9"/>
    <w:rsid w:val="DDCCF97A"/>
    <w:rsid w:val="DDDFAFE3"/>
    <w:rsid w:val="DDE0DC90"/>
    <w:rsid w:val="DDEB7F3A"/>
    <w:rsid w:val="DDF12B45"/>
    <w:rsid w:val="DDF78BE1"/>
    <w:rsid w:val="DDFBE63D"/>
    <w:rsid w:val="DDFD5DBA"/>
    <w:rsid w:val="DDFF0655"/>
    <w:rsid w:val="DDFF0D99"/>
    <w:rsid w:val="DDFF2839"/>
    <w:rsid w:val="DDFF2A6B"/>
    <w:rsid w:val="DE37B9FE"/>
    <w:rsid w:val="DE5573BE"/>
    <w:rsid w:val="DE5F1E43"/>
    <w:rsid w:val="DE75650E"/>
    <w:rsid w:val="DE7C6259"/>
    <w:rsid w:val="DE825184"/>
    <w:rsid w:val="DEA2C87E"/>
    <w:rsid w:val="DEBBB30A"/>
    <w:rsid w:val="DEBBF1E8"/>
    <w:rsid w:val="DEBF5A9C"/>
    <w:rsid w:val="DEC728D5"/>
    <w:rsid w:val="DEC75BE2"/>
    <w:rsid w:val="DED51610"/>
    <w:rsid w:val="DED78E91"/>
    <w:rsid w:val="DEDF87FF"/>
    <w:rsid w:val="DEED708A"/>
    <w:rsid w:val="DEF56588"/>
    <w:rsid w:val="DEF74F5A"/>
    <w:rsid w:val="DEFAEEF0"/>
    <w:rsid w:val="DEFB8AC9"/>
    <w:rsid w:val="DEFF4ABC"/>
    <w:rsid w:val="DEFFDC18"/>
    <w:rsid w:val="DF0D413C"/>
    <w:rsid w:val="DF1E875B"/>
    <w:rsid w:val="DF360902"/>
    <w:rsid w:val="DF3F6284"/>
    <w:rsid w:val="DF3FAB95"/>
    <w:rsid w:val="DF5FE775"/>
    <w:rsid w:val="DF6D560A"/>
    <w:rsid w:val="DF6DFD9F"/>
    <w:rsid w:val="DF77BCB8"/>
    <w:rsid w:val="DF77D507"/>
    <w:rsid w:val="DF7B75E8"/>
    <w:rsid w:val="DF7BB1DE"/>
    <w:rsid w:val="DF7F729D"/>
    <w:rsid w:val="DF7F8934"/>
    <w:rsid w:val="DF7F9F10"/>
    <w:rsid w:val="DF7FEF8C"/>
    <w:rsid w:val="DF8762F0"/>
    <w:rsid w:val="DF8F8261"/>
    <w:rsid w:val="DF966406"/>
    <w:rsid w:val="DF9EB622"/>
    <w:rsid w:val="DFAF86F3"/>
    <w:rsid w:val="DFAFB841"/>
    <w:rsid w:val="DFB6F4D9"/>
    <w:rsid w:val="DFB7C132"/>
    <w:rsid w:val="DFBA467D"/>
    <w:rsid w:val="DFBBE6FC"/>
    <w:rsid w:val="DFBCF699"/>
    <w:rsid w:val="DFBE449C"/>
    <w:rsid w:val="DFC3FE00"/>
    <w:rsid w:val="DFD2A43D"/>
    <w:rsid w:val="DFDCDC46"/>
    <w:rsid w:val="DFDE3A3E"/>
    <w:rsid w:val="DFDF6787"/>
    <w:rsid w:val="DFDF9A69"/>
    <w:rsid w:val="DFDFD0BF"/>
    <w:rsid w:val="DFE7D6DF"/>
    <w:rsid w:val="DFE86A35"/>
    <w:rsid w:val="DFEC678F"/>
    <w:rsid w:val="DFEE55A0"/>
    <w:rsid w:val="DFEEDCD3"/>
    <w:rsid w:val="DFEF2C10"/>
    <w:rsid w:val="DFEF71C7"/>
    <w:rsid w:val="DFEF994A"/>
    <w:rsid w:val="DFEFAB7A"/>
    <w:rsid w:val="DFF2336F"/>
    <w:rsid w:val="DFF470FC"/>
    <w:rsid w:val="DFF5D7AC"/>
    <w:rsid w:val="DFF6F22E"/>
    <w:rsid w:val="DFF7A325"/>
    <w:rsid w:val="DFF7FD06"/>
    <w:rsid w:val="DFF8BBF1"/>
    <w:rsid w:val="DFF927A0"/>
    <w:rsid w:val="DFF9F6FA"/>
    <w:rsid w:val="DFFA0A01"/>
    <w:rsid w:val="DFFA3891"/>
    <w:rsid w:val="DFFA6A9E"/>
    <w:rsid w:val="DFFB4EEC"/>
    <w:rsid w:val="DFFB8E1C"/>
    <w:rsid w:val="DFFB90D6"/>
    <w:rsid w:val="DFFBFECF"/>
    <w:rsid w:val="DFFD8E52"/>
    <w:rsid w:val="DFFDB5FF"/>
    <w:rsid w:val="DFFDF3DF"/>
    <w:rsid w:val="DFFE5FBD"/>
    <w:rsid w:val="DFFE7733"/>
    <w:rsid w:val="DFFE956E"/>
    <w:rsid w:val="DFFF18A4"/>
    <w:rsid w:val="DFFF3358"/>
    <w:rsid w:val="DFFF5D78"/>
    <w:rsid w:val="DFFF9BCC"/>
    <w:rsid w:val="DFFFF450"/>
    <w:rsid w:val="E17FA944"/>
    <w:rsid w:val="E1D9D231"/>
    <w:rsid w:val="E1FB2A7A"/>
    <w:rsid w:val="E1FBB5A3"/>
    <w:rsid w:val="E33767AD"/>
    <w:rsid w:val="E3465CC9"/>
    <w:rsid w:val="E3679D9D"/>
    <w:rsid w:val="E3DF9EAD"/>
    <w:rsid w:val="E3E592C4"/>
    <w:rsid w:val="E3EED401"/>
    <w:rsid w:val="E3FBC1AA"/>
    <w:rsid w:val="E4F7073B"/>
    <w:rsid w:val="E4F75DDA"/>
    <w:rsid w:val="E4FB92D5"/>
    <w:rsid w:val="E534D561"/>
    <w:rsid w:val="E593035C"/>
    <w:rsid w:val="E59CEFBB"/>
    <w:rsid w:val="E5AA2F3D"/>
    <w:rsid w:val="E5AF80C4"/>
    <w:rsid w:val="E5BFAE4F"/>
    <w:rsid w:val="E5F7E165"/>
    <w:rsid w:val="E5FC0EB8"/>
    <w:rsid w:val="E5FF1CFC"/>
    <w:rsid w:val="E67F4799"/>
    <w:rsid w:val="E69F1E9D"/>
    <w:rsid w:val="E6AF4C43"/>
    <w:rsid w:val="E6BCCAA4"/>
    <w:rsid w:val="E71F7A1B"/>
    <w:rsid w:val="E73BBB93"/>
    <w:rsid w:val="E73D98A9"/>
    <w:rsid w:val="E73F10EA"/>
    <w:rsid w:val="E75DBCA4"/>
    <w:rsid w:val="E75FB0AF"/>
    <w:rsid w:val="E76F7697"/>
    <w:rsid w:val="E77B57A8"/>
    <w:rsid w:val="E77FD1D4"/>
    <w:rsid w:val="E7A0A96B"/>
    <w:rsid w:val="E7BB4506"/>
    <w:rsid w:val="E7BE6682"/>
    <w:rsid w:val="E7BF7649"/>
    <w:rsid w:val="E7CAC9DF"/>
    <w:rsid w:val="E7D2B02A"/>
    <w:rsid w:val="E7D77307"/>
    <w:rsid w:val="E7DBA4C6"/>
    <w:rsid w:val="E7DFA8D2"/>
    <w:rsid w:val="E7F25F5B"/>
    <w:rsid w:val="E7F6A739"/>
    <w:rsid w:val="E7F6BB70"/>
    <w:rsid w:val="E7F86F2C"/>
    <w:rsid w:val="E7FB39A6"/>
    <w:rsid w:val="E7FCC4F5"/>
    <w:rsid w:val="E87F7563"/>
    <w:rsid w:val="E87FE4D2"/>
    <w:rsid w:val="E8F52B7A"/>
    <w:rsid w:val="E97F7B48"/>
    <w:rsid w:val="E9D3FC6D"/>
    <w:rsid w:val="E9EBF7DB"/>
    <w:rsid w:val="E9EE2688"/>
    <w:rsid w:val="E9FDAF8D"/>
    <w:rsid w:val="E9FF4F7E"/>
    <w:rsid w:val="EA5D6E46"/>
    <w:rsid w:val="EA7DAE91"/>
    <w:rsid w:val="EA814B2E"/>
    <w:rsid w:val="EAD393DD"/>
    <w:rsid w:val="EADFB400"/>
    <w:rsid w:val="EAE48F3C"/>
    <w:rsid w:val="EAEFCEB5"/>
    <w:rsid w:val="EAEFEF00"/>
    <w:rsid w:val="EAFE35FE"/>
    <w:rsid w:val="EAFF0A63"/>
    <w:rsid w:val="EAFFCCC5"/>
    <w:rsid w:val="EB5B24B5"/>
    <w:rsid w:val="EB5E4148"/>
    <w:rsid w:val="EB7FA7BB"/>
    <w:rsid w:val="EB97BE3D"/>
    <w:rsid w:val="EB9D07DA"/>
    <w:rsid w:val="EBBF8A68"/>
    <w:rsid w:val="EBBFA72A"/>
    <w:rsid w:val="EBBFAACA"/>
    <w:rsid w:val="EBCF67C5"/>
    <w:rsid w:val="EBDB219C"/>
    <w:rsid w:val="EBDFC9E5"/>
    <w:rsid w:val="EBEAE99F"/>
    <w:rsid w:val="EBEEF227"/>
    <w:rsid w:val="EBF6D351"/>
    <w:rsid w:val="EBF7403F"/>
    <w:rsid w:val="EBF9737E"/>
    <w:rsid w:val="EBFA4EBA"/>
    <w:rsid w:val="EBFB287C"/>
    <w:rsid w:val="EBFB2DBD"/>
    <w:rsid w:val="EBFF4A56"/>
    <w:rsid w:val="EBFFC710"/>
    <w:rsid w:val="EC0FA842"/>
    <w:rsid w:val="EC9A6156"/>
    <w:rsid w:val="ECDFEB27"/>
    <w:rsid w:val="ECF72ADE"/>
    <w:rsid w:val="ECFBA113"/>
    <w:rsid w:val="ED57E931"/>
    <w:rsid w:val="ED9515FE"/>
    <w:rsid w:val="EDB6A7AA"/>
    <w:rsid w:val="EDCF1D71"/>
    <w:rsid w:val="EDDFE28E"/>
    <w:rsid w:val="EDEF3D54"/>
    <w:rsid w:val="EDF2B917"/>
    <w:rsid w:val="EDF95E43"/>
    <w:rsid w:val="EDFA0067"/>
    <w:rsid w:val="EDFE50C0"/>
    <w:rsid w:val="EDFF6DD1"/>
    <w:rsid w:val="EDFFD12D"/>
    <w:rsid w:val="EE27FFA5"/>
    <w:rsid w:val="EE296EF8"/>
    <w:rsid w:val="EE2B80D0"/>
    <w:rsid w:val="EE6F09BF"/>
    <w:rsid w:val="EE73FCA5"/>
    <w:rsid w:val="EE7F932B"/>
    <w:rsid w:val="EE9F1648"/>
    <w:rsid w:val="EEA5A4B6"/>
    <w:rsid w:val="EEB75CF7"/>
    <w:rsid w:val="EEBB69AD"/>
    <w:rsid w:val="EEBD0ACB"/>
    <w:rsid w:val="EEBD55CB"/>
    <w:rsid w:val="EEBD5EFF"/>
    <w:rsid w:val="EEBF8981"/>
    <w:rsid w:val="EEC381C2"/>
    <w:rsid w:val="EED57D61"/>
    <w:rsid w:val="EEDA1516"/>
    <w:rsid w:val="EEDB1271"/>
    <w:rsid w:val="EEDFF0C6"/>
    <w:rsid w:val="EEF5FA9B"/>
    <w:rsid w:val="EF272949"/>
    <w:rsid w:val="EF2A2F4D"/>
    <w:rsid w:val="EF2FBBF3"/>
    <w:rsid w:val="EF3BD728"/>
    <w:rsid w:val="EF3C1396"/>
    <w:rsid w:val="EF3FFCA5"/>
    <w:rsid w:val="EF51AF54"/>
    <w:rsid w:val="EF5E24B8"/>
    <w:rsid w:val="EF5FBA40"/>
    <w:rsid w:val="EF652127"/>
    <w:rsid w:val="EF6FD061"/>
    <w:rsid w:val="EF735DC6"/>
    <w:rsid w:val="EF776280"/>
    <w:rsid w:val="EF7D7B34"/>
    <w:rsid w:val="EF7E33D1"/>
    <w:rsid w:val="EF7E6699"/>
    <w:rsid w:val="EF7F7847"/>
    <w:rsid w:val="EF7F8C6E"/>
    <w:rsid w:val="EF87C8BC"/>
    <w:rsid w:val="EF8D9B68"/>
    <w:rsid w:val="EF9E33B9"/>
    <w:rsid w:val="EF9F8320"/>
    <w:rsid w:val="EFBB56C1"/>
    <w:rsid w:val="EFBE0A8D"/>
    <w:rsid w:val="EFBE4EE4"/>
    <w:rsid w:val="EFBEA69D"/>
    <w:rsid w:val="EFBF4B8F"/>
    <w:rsid w:val="EFC26959"/>
    <w:rsid w:val="EFCBD42C"/>
    <w:rsid w:val="EFD67AFE"/>
    <w:rsid w:val="EFD7DE17"/>
    <w:rsid w:val="EFDB222D"/>
    <w:rsid w:val="EFDB2C65"/>
    <w:rsid w:val="EFDBBD52"/>
    <w:rsid w:val="EFDBD3EE"/>
    <w:rsid w:val="EFDE3AAF"/>
    <w:rsid w:val="EFDE6D12"/>
    <w:rsid w:val="EFDF884D"/>
    <w:rsid w:val="EFDFB795"/>
    <w:rsid w:val="EFDFBA63"/>
    <w:rsid w:val="EFDFC187"/>
    <w:rsid w:val="EFEB479C"/>
    <w:rsid w:val="EFEE1005"/>
    <w:rsid w:val="EFEF5B90"/>
    <w:rsid w:val="EFF1EC36"/>
    <w:rsid w:val="EFF64CD3"/>
    <w:rsid w:val="EFF79E29"/>
    <w:rsid w:val="EFF7A021"/>
    <w:rsid w:val="EFFB3CA6"/>
    <w:rsid w:val="EFFB4323"/>
    <w:rsid w:val="EFFB5C48"/>
    <w:rsid w:val="EFFB6986"/>
    <w:rsid w:val="EFFB73CD"/>
    <w:rsid w:val="EFFB7830"/>
    <w:rsid w:val="EFFBE873"/>
    <w:rsid w:val="EFFE3794"/>
    <w:rsid w:val="EFFE901A"/>
    <w:rsid w:val="EFFE9891"/>
    <w:rsid w:val="EFFF0784"/>
    <w:rsid w:val="EFFF09AB"/>
    <w:rsid w:val="EFFF55C0"/>
    <w:rsid w:val="EFFF8BC7"/>
    <w:rsid w:val="F0BD403E"/>
    <w:rsid w:val="F0EEB37F"/>
    <w:rsid w:val="F13D796B"/>
    <w:rsid w:val="F1B7CF3E"/>
    <w:rsid w:val="F1DF3DA3"/>
    <w:rsid w:val="F1EB3F48"/>
    <w:rsid w:val="F1F7A236"/>
    <w:rsid w:val="F1F7C407"/>
    <w:rsid w:val="F1F9E86A"/>
    <w:rsid w:val="F1FCBD98"/>
    <w:rsid w:val="F1FF2F95"/>
    <w:rsid w:val="F1FF86FA"/>
    <w:rsid w:val="F27DB267"/>
    <w:rsid w:val="F2BEF609"/>
    <w:rsid w:val="F2DD5A0F"/>
    <w:rsid w:val="F2EE9E88"/>
    <w:rsid w:val="F2EF3A07"/>
    <w:rsid w:val="F2F0FC28"/>
    <w:rsid w:val="F2F305E8"/>
    <w:rsid w:val="F2FFCC93"/>
    <w:rsid w:val="F2FFEB24"/>
    <w:rsid w:val="F35B3D1B"/>
    <w:rsid w:val="F3674CD7"/>
    <w:rsid w:val="F37FF018"/>
    <w:rsid w:val="F39F3EA9"/>
    <w:rsid w:val="F39FED04"/>
    <w:rsid w:val="F3B1EF69"/>
    <w:rsid w:val="F3B9A47B"/>
    <w:rsid w:val="F3BB2DDC"/>
    <w:rsid w:val="F3DEAFBD"/>
    <w:rsid w:val="F3DEBCF5"/>
    <w:rsid w:val="F3ED1837"/>
    <w:rsid w:val="F3F6CF30"/>
    <w:rsid w:val="F3F6E159"/>
    <w:rsid w:val="F3F74D82"/>
    <w:rsid w:val="F3F7889C"/>
    <w:rsid w:val="F3F7FEBC"/>
    <w:rsid w:val="F3FC910C"/>
    <w:rsid w:val="F3FF150E"/>
    <w:rsid w:val="F3FF2C20"/>
    <w:rsid w:val="F3FF38DC"/>
    <w:rsid w:val="F3FF6E8B"/>
    <w:rsid w:val="F3FFD84C"/>
    <w:rsid w:val="F3FFF441"/>
    <w:rsid w:val="F47B9DCF"/>
    <w:rsid w:val="F496D969"/>
    <w:rsid w:val="F4DBE76C"/>
    <w:rsid w:val="F4DD70F1"/>
    <w:rsid w:val="F4FA1CDF"/>
    <w:rsid w:val="F4FDD491"/>
    <w:rsid w:val="F4FFCF9B"/>
    <w:rsid w:val="F51E33DF"/>
    <w:rsid w:val="F54F8116"/>
    <w:rsid w:val="F557395B"/>
    <w:rsid w:val="F57B89F0"/>
    <w:rsid w:val="F5B53F58"/>
    <w:rsid w:val="F5B9A484"/>
    <w:rsid w:val="F5BB1C6E"/>
    <w:rsid w:val="F5BF8343"/>
    <w:rsid w:val="F5BFAB4E"/>
    <w:rsid w:val="F5CB503D"/>
    <w:rsid w:val="F5CFA977"/>
    <w:rsid w:val="F5DBA797"/>
    <w:rsid w:val="F5DDFAAE"/>
    <w:rsid w:val="F5DF21D8"/>
    <w:rsid w:val="F5DFF36A"/>
    <w:rsid w:val="F5E827C7"/>
    <w:rsid w:val="F5EB9B6F"/>
    <w:rsid w:val="F5ED9D73"/>
    <w:rsid w:val="F5EDC3DD"/>
    <w:rsid w:val="F5EDF971"/>
    <w:rsid w:val="F5F5FD0A"/>
    <w:rsid w:val="F5F98500"/>
    <w:rsid w:val="F5FF3890"/>
    <w:rsid w:val="F5FFB7C9"/>
    <w:rsid w:val="F633720D"/>
    <w:rsid w:val="F66C3557"/>
    <w:rsid w:val="F67AA5A8"/>
    <w:rsid w:val="F6954118"/>
    <w:rsid w:val="F6B7F439"/>
    <w:rsid w:val="F6B86FD0"/>
    <w:rsid w:val="F6BD02E2"/>
    <w:rsid w:val="F6BF21C0"/>
    <w:rsid w:val="F6DF08E8"/>
    <w:rsid w:val="F6EF5181"/>
    <w:rsid w:val="F6F32BF3"/>
    <w:rsid w:val="F6F704F9"/>
    <w:rsid w:val="F6FF4D1C"/>
    <w:rsid w:val="F6FF8583"/>
    <w:rsid w:val="F6FFD02B"/>
    <w:rsid w:val="F714C7D9"/>
    <w:rsid w:val="F72F8208"/>
    <w:rsid w:val="F73DA814"/>
    <w:rsid w:val="F73F6085"/>
    <w:rsid w:val="F75489F6"/>
    <w:rsid w:val="F75C4314"/>
    <w:rsid w:val="F75E28DC"/>
    <w:rsid w:val="F76B413A"/>
    <w:rsid w:val="F76B76C8"/>
    <w:rsid w:val="F76CCAE6"/>
    <w:rsid w:val="F76E8B2C"/>
    <w:rsid w:val="F776B4E7"/>
    <w:rsid w:val="F77C8357"/>
    <w:rsid w:val="F77E5290"/>
    <w:rsid w:val="F77FA658"/>
    <w:rsid w:val="F799FA44"/>
    <w:rsid w:val="F79E366B"/>
    <w:rsid w:val="F79FCA16"/>
    <w:rsid w:val="F79FEF65"/>
    <w:rsid w:val="F7A27925"/>
    <w:rsid w:val="F7AF3B43"/>
    <w:rsid w:val="F7B364F8"/>
    <w:rsid w:val="F7B75291"/>
    <w:rsid w:val="F7BB1D68"/>
    <w:rsid w:val="F7BE1F62"/>
    <w:rsid w:val="F7BE6986"/>
    <w:rsid w:val="F7BFF764"/>
    <w:rsid w:val="F7C7E2F7"/>
    <w:rsid w:val="F7C7F3E0"/>
    <w:rsid w:val="F7D7A3A9"/>
    <w:rsid w:val="F7D7CD65"/>
    <w:rsid w:val="F7DEFE94"/>
    <w:rsid w:val="F7DF3EBC"/>
    <w:rsid w:val="F7DF769F"/>
    <w:rsid w:val="F7E5725E"/>
    <w:rsid w:val="F7E6C29F"/>
    <w:rsid w:val="F7E7B7CD"/>
    <w:rsid w:val="F7EE3315"/>
    <w:rsid w:val="F7EF2E6F"/>
    <w:rsid w:val="F7EF5CFC"/>
    <w:rsid w:val="F7F1CB05"/>
    <w:rsid w:val="F7F24588"/>
    <w:rsid w:val="F7F3847C"/>
    <w:rsid w:val="F7F52DEE"/>
    <w:rsid w:val="F7F60853"/>
    <w:rsid w:val="F7F6196F"/>
    <w:rsid w:val="F7F623C3"/>
    <w:rsid w:val="F7F771E9"/>
    <w:rsid w:val="F7F7FF47"/>
    <w:rsid w:val="F7FAABFF"/>
    <w:rsid w:val="F7FAB366"/>
    <w:rsid w:val="F7FB26E1"/>
    <w:rsid w:val="F7FB89A1"/>
    <w:rsid w:val="F7FB9AEA"/>
    <w:rsid w:val="F7FBF2DD"/>
    <w:rsid w:val="F7FE8FA1"/>
    <w:rsid w:val="F7FEEEE8"/>
    <w:rsid w:val="F7FF12DA"/>
    <w:rsid w:val="F7FF3948"/>
    <w:rsid w:val="F7FF7571"/>
    <w:rsid w:val="F7FF7DE6"/>
    <w:rsid w:val="F7FF8610"/>
    <w:rsid w:val="F81F5D85"/>
    <w:rsid w:val="F8DEDC65"/>
    <w:rsid w:val="F8ECB662"/>
    <w:rsid w:val="F8F5AC35"/>
    <w:rsid w:val="F8FF7A47"/>
    <w:rsid w:val="F8FF88E6"/>
    <w:rsid w:val="F96E8F53"/>
    <w:rsid w:val="F972F102"/>
    <w:rsid w:val="F97796F8"/>
    <w:rsid w:val="F97EB4A9"/>
    <w:rsid w:val="F97F13EF"/>
    <w:rsid w:val="F9AE2159"/>
    <w:rsid w:val="F9BF3FEF"/>
    <w:rsid w:val="F9CD98F7"/>
    <w:rsid w:val="F9CFC8EF"/>
    <w:rsid w:val="F9D3368B"/>
    <w:rsid w:val="F9DBD3EF"/>
    <w:rsid w:val="F9F3ABE3"/>
    <w:rsid w:val="F9F50E39"/>
    <w:rsid w:val="F9FDDB60"/>
    <w:rsid w:val="F9FE26AA"/>
    <w:rsid w:val="F9FEE487"/>
    <w:rsid w:val="F9FF02D8"/>
    <w:rsid w:val="F9FFA15F"/>
    <w:rsid w:val="FA1FB234"/>
    <w:rsid w:val="FA3F5CB6"/>
    <w:rsid w:val="FA3FDF01"/>
    <w:rsid w:val="FA477A9D"/>
    <w:rsid w:val="FA7398E7"/>
    <w:rsid w:val="FA7A6FE6"/>
    <w:rsid w:val="FABF712A"/>
    <w:rsid w:val="FAC61ADC"/>
    <w:rsid w:val="FADB1DBD"/>
    <w:rsid w:val="FADBC272"/>
    <w:rsid w:val="FADE8F7A"/>
    <w:rsid w:val="FADF908F"/>
    <w:rsid w:val="FAE3E6C6"/>
    <w:rsid w:val="FAEC31CA"/>
    <w:rsid w:val="FAEE1833"/>
    <w:rsid w:val="FAEF420D"/>
    <w:rsid w:val="FAF7EA6D"/>
    <w:rsid w:val="FAFB0B6A"/>
    <w:rsid w:val="FAFB4744"/>
    <w:rsid w:val="FAFF36AA"/>
    <w:rsid w:val="FAFF98E5"/>
    <w:rsid w:val="FB1BDA45"/>
    <w:rsid w:val="FB27E4C2"/>
    <w:rsid w:val="FB377E96"/>
    <w:rsid w:val="FB3DB4EE"/>
    <w:rsid w:val="FB5E7988"/>
    <w:rsid w:val="FB676A39"/>
    <w:rsid w:val="FB6C1FD5"/>
    <w:rsid w:val="FB6FCD3A"/>
    <w:rsid w:val="FB7EA7A6"/>
    <w:rsid w:val="FB7F139D"/>
    <w:rsid w:val="FB7F53BE"/>
    <w:rsid w:val="FB913CF7"/>
    <w:rsid w:val="FB94F6BC"/>
    <w:rsid w:val="FB9D451F"/>
    <w:rsid w:val="FB9DDC7A"/>
    <w:rsid w:val="FB9FC56A"/>
    <w:rsid w:val="FB9FDC62"/>
    <w:rsid w:val="FBAB770C"/>
    <w:rsid w:val="FBAF4F38"/>
    <w:rsid w:val="FBAFAF6B"/>
    <w:rsid w:val="FBB66CBF"/>
    <w:rsid w:val="FBB7BBDE"/>
    <w:rsid w:val="FBBD0848"/>
    <w:rsid w:val="FBBFB56F"/>
    <w:rsid w:val="FBD4AA9B"/>
    <w:rsid w:val="FBD6900A"/>
    <w:rsid w:val="FBDB7B57"/>
    <w:rsid w:val="FBDEAB9D"/>
    <w:rsid w:val="FBDF42AA"/>
    <w:rsid w:val="FBDFB43A"/>
    <w:rsid w:val="FBE74BAE"/>
    <w:rsid w:val="FBEE48A1"/>
    <w:rsid w:val="FBEEB94B"/>
    <w:rsid w:val="FBEF5BBD"/>
    <w:rsid w:val="FBEF616A"/>
    <w:rsid w:val="FBF21A23"/>
    <w:rsid w:val="FBF30A82"/>
    <w:rsid w:val="FBF3D9D8"/>
    <w:rsid w:val="FBF3E733"/>
    <w:rsid w:val="FBF45CBE"/>
    <w:rsid w:val="FBF6859F"/>
    <w:rsid w:val="FBF7C8F3"/>
    <w:rsid w:val="FBF9506C"/>
    <w:rsid w:val="FBFB1D63"/>
    <w:rsid w:val="FBFB9826"/>
    <w:rsid w:val="FBFD8559"/>
    <w:rsid w:val="FBFE5ACA"/>
    <w:rsid w:val="FBFE75B0"/>
    <w:rsid w:val="FBFEA015"/>
    <w:rsid w:val="FBFF43C6"/>
    <w:rsid w:val="FBFF95C1"/>
    <w:rsid w:val="FBFFC8F2"/>
    <w:rsid w:val="FBFFD532"/>
    <w:rsid w:val="FBFFF297"/>
    <w:rsid w:val="FC1D342A"/>
    <w:rsid w:val="FC6EA318"/>
    <w:rsid w:val="FC72FACD"/>
    <w:rsid w:val="FCBD8BDF"/>
    <w:rsid w:val="FCBF0CF6"/>
    <w:rsid w:val="FCBFA878"/>
    <w:rsid w:val="FCC76DDC"/>
    <w:rsid w:val="FCC8AD1B"/>
    <w:rsid w:val="FCD34F9B"/>
    <w:rsid w:val="FCDE09EC"/>
    <w:rsid w:val="FCEA117A"/>
    <w:rsid w:val="FCEDF314"/>
    <w:rsid w:val="FCEFE7C7"/>
    <w:rsid w:val="FCF78210"/>
    <w:rsid w:val="FCFBB4FF"/>
    <w:rsid w:val="FCFF13D8"/>
    <w:rsid w:val="FCFF1682"/>
    <w:rsid w:val="FD176662"/>
    <w:rsid w:val="FD2B563C"/>
    <w:rsid w:val="FD2EFDD8"/>
    <w:rsid w:val="FD37DCFD"/>
    <w:rsid w:val="FD3CB5E4"/>
    <w:rsid w:val="FD3F818E"/>
    <w:rsid w:val="FD575595"/>
    <w:rsid w:val="FD5FCFFD"/>
    <w:rsid w:val="FD6C5E81"/>
    <w:rsid w:val="FD78A03A"/>
    <w:rsid w:val="FD79C586"/>
    <w:rsid w:val="FD7F08B2"/>
    <w:rsid w:val="FD7F16F3"/>
    <w:rsid w:val="FD7F66D2"/>
    <w:rsid w:val="FD939069"/>
    <w:rsid w:val="FD9BA915"/>
    <w:rsid w:val="FD9F7A97"/>
    <w:rsid w:val="FDAF20BB"/>
    <w:rsid w:val="FDB446F1"/>
    <w:rsid w:val="FDB78C6E"/>
    <w:rsid w:val="FDBEC67F"/>
    <w:rsid w:val="FDBEE2EF"/>
    <w:rsid w:val="FDBF2DB1"/>
    <w:rsid w:val="FDBF74E1"/>
    <w:rsid w:val="FDBFCB8A"/>
    <w:rsid w:val="FDCF4860"/>
    <w:rsid w:val="FDD354CA"/>
    <w:rsid w:val="FDDBF64F"/>
    <w:rsid w:val="FDDC6A18"/>
    <w:rsid w:val="FDDE16DC"/>
    <w:rsid w:val="FDDEBE42"/>
    <w:rsid w:val="FDDF5C2D"/>
    <w:rsid w:val="FDDFE8EB"/>
    <w:rsid w:val="FDE2F508"/>
    <w:rsid w:val="FDE658C8"/>
    <w:rsid w:val="FDED24D8"/>
    <w:rsid w:val="FDEF28EB"/>
    <w:rsid w:val="FDEF7A53"/>
    <w:rsid w:val="FDF3F92B"/>
    <w:rsid w:val="FDF53A75"/>
    <w:rsid w:val="FDF5A884"/>
    <w:rsid w:val="FDF77D3F"/>
    <w:rsid w:val="FDFB0D2C"/>
    <w:rsid w:val="FDFBD2C6"/>
    <w:rsid w:val="FDFD7205"/>
    <w:rsid w:val="FDFD8799"/>
    <w:rsid w:val="FDFD9633"/>
    <w:rsid w:val="FDFDF069"/>
    <w:rsid w:val="FDFE8C00"/>
    <w:rsid w:val="FDFED897"/>
    <w:rsid w:val="FDFEDF02"/>
    <w:rsid w:val="FDFF1DF1"/>
    <w:rsid w:val="FDFF2224"/>
    <w:rsid w:val="FDFF799B"/>
    <w:rsid w:val="FDFF99E2"/>
    <w:rsid w:val="FDFF9AA9"/>
    <w:rsid w:val="FDFFA902"/>
    <w:rsid w:val="FDFFBA05"/>
    <w:rsid w:val="FDFFD44F"/>
    <w:rsid w:val="FDFFDFB5"/>
    <w:rsid w:val="FDFFE993"/>
    <w:rsid w:val="FDFFEAC3"/>
    <w:rsid w:val="FDFFFB00"/>
    <w:rsid w:val="FE27F024"/>
    <w:rsid w:val="FE3E523B"/>
    <w:rsid w:val="FE3F2337"/>
    <w:rsid w:val="FE533EB0"/>
    <w:rsid w:val="FE676870"/>
    <w:rsid w:val="FE6FEA62"/>
    <w:rsid w:val="FE7D8E14"/>
    <w:rsid w:val="FE7F0FCE"/>
    <w:rsid w:val="FE7F5413"/>
    <w:rsid w:val="FE7F6B83"/>
    <w:rsid w:val="FE7F84CD"/>
    <w:rsid w:val="FE7FD148"/>
    <w:rsid w:val="FE97F7FF"/>
    <w:rsid w:val="FE995228"/>
    <w:rsid w:val="FE9FF1D1"/>
    <w:rsid w:val="FEA77122"/>
    <w:rsid w:val="FEB4B6CA"/>
    <w:rsid w:val="FEB6AFFB"/>
    <w:rsid w:val="FEB8AB08"/>
    <w:rsid w:val="FEBB75B5"/>
    <w:rsid w:val="FEBDCE11"/>
    <w:rsid w:val="FEBF159B"/>
    <w:rsid w:val="FEBF1AC2"/>
    <w:rsid w:val="FEBF7E8B"/>
    <w:rsid w:val="FEBF882A"/>
    <w:rsid w:val="FEC75FED"/>
    <w:rsid w:val="FEC7AFD9"/>
    <w:rsid w:val="FECC9083"/>
    <w:rsid w:val="FECF96E8"/>
    <w:rsid w:val="FED7E312"/>
    <w:rsid w:val="FEDB6852"/>
    <w:rsid w:val="FEDD02B8"/>
    <w:rsid w:val="FEDE43C0"/>
    <w:rsid w:val="FEDEBABD"/>
    <w:rsid w:val="FEDF2F22"/>
    <w:rsid w:val="FEE5B273"/>
    <w:rsid w:val="FEE67F17"/>
    <w:rsid w:val="FEE9FEBC"/>
    <w:rsid w:val="FEEDAB3B"/>
    <w:rsid w:val="FEEE1AFC"/>
    <w:rsid w:val="FEEE717D"/>
    <w:rsid w:val="FEEEB1C4"/>
    <w:rsid w:val="FEEEF9BD"/>
    <w:rsid w:val="FEEF0E21"/>
    <w:rsid w:val="FEF5CF40"/>
    <w:rsid w:val="FEF6347B"/>
    <w:rsid w:val="FEF7F69D"/>
    <w:rsid w:val="FEF87EB1"/>
    <w:rsid w:val="FEF92922"/>
    <w:rsid w:val="FEFB9E8F"/>
    <w:rsid w:val="FEFBB2C1"/>
    <w:rsid w:val="FEFD57D9"/>
    <w:rsid w:val="FEFD6542"/>
    <w:rsid w:val="FEFD9CA7"/>
    <w:rsid w:val="FEFDAB84"/>
    <w:rsid w:val="FEFF025F"/>
    <w:rsid w:val="FEFFE41F"/>
    <w:rsid w:val="FF0F387D"/>
    <w:rsid w:val="FF1780DA"/>
    <w:rsid w:val="FF2FB709"/>
    <w:rsid w:val="FF2FCEFA"/>
    <w:rsid w:val="FF391014"/>
    <w:rsid w:val="FF3B2C9C"/>
    <w:rsid w:val="FF3EB35A"/>
    <w:rsid w:val="FF3F5C4F"/>
    <w:rsid w:val="FF43A3B8"/>
    <w:rsid w:val="FF4AFA1E"/>
    <w:rsid w:val="FF5327EF"/>
    <w:rsid w:val="FF5BA901"/>
    <w:rsid w:val="FF5D1823"/>
    <w:rsid w:val="FF5E351C"/>
    <w:rsid w:val="FF650FDA"/>
    <w:rsid w:val="FF6D97CB"/>
    <w:rsid w:val="FF6DC612"/>
    <w:rsid w:val="FF6F08FB"/>
    <w:rsid w:val="FF6F83C4"/>
    <w:rsid w:val="FF7059A3"/>
    <w:rsid w:val="FF75D264"/>
    <w:rsid w:val="FF76E945"/>
    <w:rsid w:val="FF775362"/>
    <w:rsid w:val="FF77AB37"/>
    <w:rsid w:val="FF77C234"/>
    <w:rsid w:val="FF79420B"/>
    <w:rsid w:val="FF7A8B0F"/>
    <w:rsid w:val="FF7B1F38"/>
    <w:rsid w:val="FF7B9811"/>
    <w:rsid w:val="FF7C8C56"/>
    <w:rsid w:val="FF7D4AA8"/>
    <w:rsid w:val="FF7E6760"/>
    <w:rsid w:val="FF7F2185"/>
    <w:rsid w:val="FF7F3790"/>
    <w:rsid w:val="FF7F790B"/>
    <w:rsid w:val="FF7F8DF0"/>
    <w:rsid w:val="FF7FA59B"/>
    <w:rsid w:val="FF7FB979"/>
    <w:rsid w:val="FF7FFFB4"/>
    <w:rsid w:val="FF8F57D6"/>
    <w:rsid w:val="FF954EAE"/>
    <w:rsid w:val="FF9807FD"/>
    <w:rsid w:val="FF981A2A"/>
    <w:rsid w:val="FF99A9DF"/>
    <w:rsid w:val="FF9B19A9"/>
    <w:rsid w:val="FF9B7926"/>
    <w:rsid w:val="FF9D5E92"/>
    <w:rsid w:val="FF9E7AA0"/>
    <w:rsid w:val="FF9F4167"/>
    <w:rsid w:val="FF9F5E46"/>
    <w:rsid w:val="FF9FDC7D"/>
    <w:rsid w:val="FFA7C1AF"/>
    <w:rsid w:val="FFA7FF96"/>
    <w:rsid w:val="FFABC5AD"/>
    <w:rsid w:val="FFAE94A5"/>
    <w:rsid w:val="FFAF1D5C"/>
    <w:rsid w:val="FFAF3321"/>
    <w:rsid w:val="FFB24DF3"/>
    <w:rsid w:val="FFB5AAAA"/>
    <w:rsid w:val="FFB5B9BF"/>
    <w:rsid w:val="FFB64D50"/>
    <w:rsid w:val="FFB7270C"/>
    <w:rsid w:val="FFB79418"/>
    <w:rsid w:val="FFBBA1C5"/>
    <w:rsid w:val="FFBBA281"/>
    <w:rsid w:val="FFBC119F"/>
    <w:rsid w:val="FFBC86C8"/>
    <w:rsid w:val="FFBCFECA"/>
    <w:rsid w:val="FFBD8EF2"/>
    <w:rsid w:val="FFBE98FF"/>
    <w:rsid w:val="FFBEBA43"/>
    <w:rsid w:val="FFBEBB64"/>
    <w:rsid w:val="FFBF20AC"/>
    <w:rsid w:val="FFBF2CED"/>
    <w:rsid w:val="FFBF2DEC"/>
    <w:rsid w:val="FFBF3631"/>
    <w:rsid w:val="FFBF3B19"/>
    <w:rsid w:val="FFBF54E1"/>
    <w:rsid w:val="FFBF8A05"/>
    <w:rsid w:val="FFBFAE89"/>
    <w:rsid w:val="FFBFC5F2"/>
    <w:rsid w:val="FFBFDC19"/>
    <w:rsid w:val="FFC719AA"/>
    <w:rsid w:val="FFCB3459"/>
    <w:rsid w:val="FFCB389F"/>
    <w:rsid w:val="FFCF677E"/>
    <w:rsid w:val="FFCFAC39"/>
    <w:rsid w:val="FFCFBFB4"/>
    <w:rsid w:val="FFCFC129"/>
    <w:rsid w:val="FFD21024"/>
    <w:rsid w:val="FFD4DA9A"/>
    <w:rsid w:val="FFD58004"/>
    <w:rsid w:val="FFD726F6"/>
    <w:rsid w:val="FFD75455"/>
    <w:rsid w:val="FFD7D03B"/>
    <w:rsid w:val="FFD7EC90"/>
    <w:rsid w:val="FFDB2013"/>
    <w:rsid w:val="FFDBA210"/>
    <w:rsid w:val="FFDBD3A0"/>
    <w:rsid w:val="FFDD597E"/>
    <w:rsid w:val="FFDDD6AC"/>
    <w:rsid w:val="FFDE0973"/>
    <w:rsid w:val="FFDE2C53"/>
    <w:rsid w:val="FFDE966C"/>
    <w:rsid w:val="FFDF28B2"/>
    <w:rsid w:val="FFDF3416"/>
    <w:rsid w:val="FFDF3731"/>
    <w:rsid w:val="FFDF3912"/>
    <w:rsid w:val="FFDF4637"/>
    <w:rsid w:val="FFDF6244"/>
    <w:rsid w:val="FFDFA852"/>
    <w:rsid w:val="FFDFE9E9"/>
    <w:rsid w:val="FFE38D68"/>
    <w:rsid w:val="FFE47A4D"/>
    <w:rsid w:val="FFE52D37"/>
    <w:rsid w:val="FFE7BA4E"/>
    <w:rsid w:val="FFE7DB23"/>
    <w:rsid w:val="FFE9EB19"/>
    <w:rsid w:val="FFEAECB7"/>
    <w:rsid w:val="FFEC39C5"/>
    <w:rsid w:val="FFEC71E6"/>
    <w:rsid w:val="FFECC648"/>
    <w:rsid w:val="FFEE1C9E"/>
    <w:rsid w:val="FFEE7298"/>
    <w:rsid w:val="FFEF0EE7"/>
    <w:rsid w:val="FFEF3AE4"/>
    <w:rsid w:val="FFEF3C87"/>
    <w:rsid w:val="FFEF41FB"/>
    <w:rsid w:val="FFEF626F"/>
    <w:rsid w:val="FFEFA800"/>
    <w:rsid w:val="FFEFB945"/>
    <w:rsid w:val="FFEFCF0F"/>
    <w:rsid w:val="FFEFF3E2"/>
    <w:rsid w:val="FFEFFC82"/>
    <w:rsid w:val="FFF20CD6"/>
    <w:rsid w:val="FFF320F0"/>
    <w:rsid w:val="FFF367C1"/>
    <w:rsid w:val="FFF37572"/>
    <w:rsid w:val="FFF54084"/>
    <w:rsid w:val="FFF649F7"/>
    <w:rsid w:val="FFF6A85D"/>
    <w:rsid w:val="FFF7023C"/>
    <w:rsid w:val="FFF72E1A"/>
    <w:rsid w:val="FFF775D4"/>
    <w:rsid w:val="FFF779A9"/>
    <w:rsid w:val="FFF7BAC9"/>
    <w:rsid w:val="FFF7BBDE"/>
    <w:rsid w:val="FFF8A837"/>
    <w:rsid w:val="FFFAB341"/>
    <w:rsid w:val="FFFAD183"/>
    <w:rsid w:val="FFFB294D"/>
    <w:rsid w:val="FFFB3358"/>
    <w:rsid w:val="FFFB41DA"/>
    <w:rsid w:val="FFFB8F35"/>
    <w:rsid w:val="FFFBB8A1"/>
    <w:rsid w:val="FFFBBBC1"/>
    <w:rsid w:val="FFFBC8C8"/>
    <w:rsid w:val="FFFBD232"/>
    <w:rsid w:val="FFFC84B6"/>
    <w:rsid w:val="FFFCA444"/>
    <w:rsid w:val="FFFCAA4A"/>
    <w:rsid w:val="FFFCAB79"/>
    <w:rsid w:val="FFFD2EC8"/>
    <w:rsid w:val="FFFD55B7"/>
    <w:rsid w:val="FFFDA36E"/>
    <w:rsid w:val="FFFDA750"/>
    <w:rsid w:val="FFFDC3CB"/>
    <w:rsid w:val="FFFDC717"/>
    <w:rsid w:val="FFFDEE6E"/>
    <w:rsid w:val="FFFDF51F"/>
    <w:rsid w:val="FFFE0ABC"/>
    <w:rsid w:val="FFFE5528"/>
    <w:rsid w:val="FFFE5E67"/>
    <w:rsid w:val="FFFE678F"/>
    <w:rsid w:val="FFFE8673"/>
    <w:rsid w:val="FFFE8D68"/>
    <w:rsid w:val="FFFEC0D0"/>
    <w:rsid w:val="FFFEC620"/>
    <w:rsid w:val="FFFEFB32"/>
    <w:rsid w:val="FFFF0CE1"/>
    <w:rsid w:val="FFFF20B9"/>
    <w:rsid w:val="FFFF2E29"/>
    <w:rsid w:val="FFFF2EC1"/>
    <w:rsid w:val="FFFF376C"/>
    <w:rsid w:val="FFFF79F1"/>
    <w:rsid w:val="FFFF9DBB"/>
    <w:rsid w:val="FFFFA882"/>
    <w:rsid w:val="FFFFB961"/>
    <w:rsid w:val="FFFFBEAA"/>
    <w:rsid w:val="FFFFD365"/>
    <w:rsid w:val="FFFFEC92"/>
    <w:rsid w:val="FFFFF33B"/>
    <w:rsid w:val="FFFFF5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qFormat="1" w:uiPriority="99" w:semiHidden="0" w:name="endnote reference"/>
    <w:lsdException w:qFormat="1" w:uiPriority="99"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721" w:firstLineChars="200"/>
      <w:jc w:val="both"/>
    </w:pPr>
    <w:rPr>
      <w:rFonts w:ascii="Times New Roman" w:hAnsi="Times New Roman" w:eastAsia="宋体" w:cstheme="minorBidi"/>
      <w:kern w:val="2"/>
      <w:sz w:val="21"/>
      <w:szCs w:val="22"/>
      <w:lang w:val="en-US" w:eastAsia="zh-CN" w:bidi="en-US"/>
    </w:rPr>
  </w:style>
  <w:style w:type="paragraph" w:styleId="2">
    <w:name w:val="heading 1"/>
    <w:basedOn w:val="1"/>
    <w:next w:val="1"/>
    <w:link w:val="27"/>
    <w:qFormat/>
    <w:uiPriority w:val="0"/>
    <w:pPr>
      <w:keepNext/>
      <w:keepLines/>
      <w:ind w:firstLine="0" w:firstLineChars="0"/>
      <w:outlineLvl w:val="0"/>
    </w:pPr>
    <w:rPr>
      <w:rFonts w:eastAsia="Songti SC"/>
      <w:kern w:val="44"/>
      <w:sz w:val="28"/>
      <w:szCs w:val="28"/>
    </w:rPr>
  </w:style>
  <w:style w:type="paragraph" w:styleId="3">
    <w:name w:val="heading 2"/>
    <w:basedOn w:val="1"/>
    <w:next w:val="1"/>
    <w:link w:val="32"/>
    <w:unhideWhenUsed/>
    <w:qFormat/>
    <w:uiPriority w:val="0"/>
    <w:pPr>
      <w:keepNext/>
      <w:keepLines/>
      <w:ind w:firstLine="0" w:firstLineChars="0"/>
      <w:jc w:val="left"/>
      <w:outlineLvl w:val="1"/>
    </w:pPr>
    <w:rPr>
      <w:rFonts w:ascii="Arial" w:hAnsi="Arial" w:eastAsia="Songti SC"/>
      <w:b/>
    </w:rPr>
  </w:style>
  <w:style w:type="paragraph" w:styleId="4">
    <w:name w:val="heading 3"/>
    <w:basedOn w:val="1"/>
    <w:next w:val="1"/>
    <w:link w:val="33"/>
    <w:unhideWhenUsed/>
    <w:qFormat/>
    <w:uiPriority w:val="0"/>
    <w:pPr>
      <w:keepNext/>
      <w:keepLines/>
      <w:spacing w:before="50" w:beforeLines="50" w:after="50" w:afterLines="50" w:line="240" w:lineRule="auto"/>
      <w:ind w:firstLine="0" w:firstLineChars="0"/>
      <w:outlineLvl w:val="2"/>
    </w:pPr>
  </w:style>
  <w:style w:type="paragraph" w:styleId="5">
    <w:name w:val="heading 4"/>
    <w:basedOn w:val="3"/>
    <w:next w:val="1"/>
    <w:link w:val="30"/>
    <w:unhideWhenUsed/>
    <w:qFormat/>
    <w:uiPriority w:val="0"/>
    <w:pPr>
      <w:spacing w:before="280" w:after="290" w:line="372" w:lineRule="auto"/>
      <w:outlineLvl w:val="3"/>
    </w:pPr>
    <w:rPr>
      <w:rFonts w:eastAsia="黑体"/>
      <w:sz w:val="28"/>
    </w:rPr>
  </w:style>
  <w:style w:type="paragraph" w:styleId="6">
    <w:name w:val="heading 5"/>
    <w:basedOn w:val="1"/>
    <w:next w:val="1"/>
    <w:unhideWhenUsed/>
    <w:qFormat/>
    <w:uiPriority w:val="0"/>
    <w:pPr>
      <w:keepNext/>
      <w:keepLines/>
      <w:spacing w:before="280" w:after="290" w:line="372" w:lineRule="auto"/>
      <w:outlineLvl w:val="4"/>
    </w:pPr>
    <w:rPr>
      <w:b/>
      <w:sz w:val="28"/>
    </w:rPr>
  </w:style>
  <w:style w:type="paragraph" w:styleId="7">
    <w:name w:val="heading 6"/>
    <w:basedOn w:val="1"/>
    <w:next w:val="1"/>
    <w:unhideWhenUsed/>
    <w:qFormat/>
    <w:uiPriority w:val="0"/>
    <w:pPr>
      <w:keepNext/>
      <w:keepLines/>
      <w:spacing w:before="240" w:after="64" w:line="317" w:lineRule="auto"/>
      <w:outlineLvl w:val="5"/>
    </w:pPr>
    <w:rPr>
      <w:rFonts w:ascii="Arial" w:hAnsi="Arial" w:eastAsia="黑体"/>
      <w:b/>
      <w:sz w:val="24"/>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8">
    <w:name w:val="caption"/>
    <w:basedOn w:val="1"/>
    <w:next w:val="1"/>
    <w:unhideWhenUsed/>
    <w:qFormat/>
    <w:uiPriority w:val="0"/>
    <w:pPr>
      <w:spacing w:line="240" w:lineRule="auto"/>
      <w:ind w:firstLine="0" w:firstLineChars="0"/>
      <w:jc w:val="left"/>
    </w:pPr>
    <w:rPr>
      <w:sz w:val="18"/>
    </w:rPr>
  </w:style>
  <w:style w:type="paragraph" w:styleId="9">
    <w:name w:val="annotation text"/>
    <w:basedOn w:val="1"/>
    <w:link w:val="36"/>
    <w:qFormat/>
    <w:uiPriority w:val="0"/>
    <w:pPr>
      <w:jc w:val="left"/>
    </w:pPr>
  </w:style>
  <w:style w:type="paragraph" w:styleId="10">
    <w:name w:val="endnote text"/>
    <w:basedOn w:val="1"/>
    <w:link w:val="29"/>
    <w:unhideWhenUsed/>
    <w:qFormat/>
    <w:uiPriority w:val="99"/>
    <w:pPr>
      <w:ind w:firstLine="200"/>
    </w:pPr>
    <w:rPr>
      <w:rFonts w:cs="Times New Roman"/>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13">
    <w:name w:val="toc 1"/>
    <w:basedOn w:val="1"/>
    <w:next w:val="1"/>
    <w:link w:val="28"/>
    <w:unhideWhenUsed/>
    <w:qFormat/>
    <w:uiPriority w:val="39"/>
    <w:pPr>
      <w:tabs>
        <w:tab w:val="right" w:leader="dot" w:pos="8301"/>
      </w:tabs>
    </w:pPr>
    <w:rPr>
      <w:rFonts w:cstheme="minorHAnsi"/>
      <w:bCs/>
      <w:caps/>
    </w:rPr>
  </w:style>
  <w:style w:type="paragraph" w:styleId="14">
    <w:name w:val="footnote text"/>
    <w:basedOn w:val="1"/>
    <w:qFormat/>
    <w:uiPriority w:val="0"/>
    <w:pPr>
      <w:snapToGrid w:val="0"/>
      <w:spacing w:line="240" w:lineRule="auto"/>
      <w:ind w:firstLine="0" w:firstLineChars="0"/>
      <w:jc w:val="left"/>
    </w:pPr>
    <w:rPr>
      <w:rFonts w:eastAsiaTheme="minorEastAsia"/>
      <w:sz w:val="18"/>
    </w:rPr>
  </w:style>
  <w:style w:type="paragraph" w:styleId="15">
    <w:name w:val="Normal (Web)"/>
    <w:basedOn w:val="1"/>
    <w:qFormat/>
    <w:uiPriority w:val="0"/>
    <w:pPr>
      <w:spacing w:beforeAutospacing="1" w:afterAutospacing="1"/>
      <w:jc w:val="left"/>
    </w:pPr>
    <w:rPr>
      <w:rFonts w:cs="Times New Roman"/>
      <w:kern w:val="0"/>
      <w:sz w:val="24"/>
      <w:lang w:bidi="ar-SA"/>
    </w:rPr>
  </w:style>
  <w:style w:type="paragraph" w:styleId="16">
    <w:name w:val="annotation subject"/>
    <w:basedOn w:val="9"/>
    <w:next w:val="9"/>
    <w:link w:val="37"/>
    <w:qFormat/>
    <w:uiPriority w:val="0"/>
    <w:rPr>
      <w:b/>
      <w:bCs/>
    </w:rPr>
  </w:style>
  <w:style w:type="table" w:styleId="18">
    <w:name w:val="Table Grid"/>
    <w:basedOn w:val="1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qFormat/>
    <w:uiPriority w:val="0"/>
    <w:rPr>
      <w:b/>
    </w:rPr>
  </w:style>
  <w:style w:type="character" w:styleId="21">
    <w:name w:val="endnote reference"/>
    <w:basedOn w:val="19"/>
    <w:unhideWhenUsed/>
    <w:qFormat/>
    <w:uiPriority w:val="99"/>
    <w:rPr>
      <w:vertAlign w:val="superscript"/>
    </w:rPr>
  </w:style>
  <w:style w:type="character" w:styleId="22">
    <w:name w:val="Emphasis"/>
    <w:basedOn w:val="19"/>
    <w:qFormat/>
    <w:uiPriority w:val="20"/>
    <w:rPr>
      <w:i/>
    </w:rPr>
  </w:style>
  <w:style w:type="character" w:styleId="23">
    <w:name w:val="Hyperlink"/>
    <w:basedOn w:val="19"/>
    <w:qFormat/>
    <w:uiPriority w:val="0"/>
    <w:rPr>
      <w:color w:val="0000FF"/>
      <w:u w:val="single"/>
    </w:rPr>
  </w:style>
  <w:style w:type="character" w:styleId="24">
    <w:name w:val="annotation reference"/>
    <w:basedOn w:val="19"/>
    <w:qFormat/>
    <w:uiPriority w:val="0"/>
    <w:rPr>
      <w:sz w:val="21"/>
      <w:szCs w:val="21"/>
    </w:rPr>
  </w:style>
  <w:style w:type="character" w:styleId="25">
    <w:name w:val="footnote reference"/>
    <w:basedOn w:val="19"/>
    <w:unhideWhenUsed/>
    <w:qFormat/>
    <w:uiPriority w:val="99"/>
    <w:rPr>
      <w:rFonts w:ascii="Times New Roman" w:hAnsi="Times New Roman" w:eastAsiaTheme="minorEastAsia"/>
      <w:sz w:val="21"/>
      <w:vertAlign w:val="superscript"/>
    </w:rPr>
  </w:style>
  <w:style w:type="paragraph" w:customStyle="1" w:styleId="26">
    <w:name w:val="11111"/>
    <w:next w:val="1"/>
    <w:qFormat/>
    <w:uiPriority w:val="0"/>
    <w:pPr>
      <w:widowControl w:val="0"/>
      <w:jc w:val="center"/>
    </w:pPr>
    <w:rPr>
      <w:rFonts w:ascii="Times New Roman" w:hAnsi="Times New Roman" w:eastAsia="宋体" w:cs="宋体"/>
      <w:sz w:val="21"/>
      <w:szCs w:val="24"/>
      <w:lang w:val="en-US" w:eastAsia="zh-CN" w:bidi="ar-SA"/>
    </w:rPr>
  </w:style>
  <w:style w:type="character" w:customStyle="1" w:styleId="27">
    <w:name w:val="标题 1 字符"/>
    <w:link w:val="2"/>
    <w:qFormat/>
    <w:uiPriority w:val="0"/>
    <w:rPr>
      <w:rFonts w:ascii="Times New Roman" w:hAnsi="Times New Roman" w:eastAsia="Songti SC"/>
      <w:kern w:val="44"/>
      <w:sz w:val="28"/>
      <w:szCs w:val="28"/>
    </w:rPr>
  </w:style>
  <w:style w:type="character" w:customStyle="1" w:styleId="28">
    <w:name w:val="TOC 1 字符"/>
    <w:link w:val="13"/>
    <w:qFormat/>
    <w:uiPriority w:val="0"/>
    <w:rPr>
      <w:rFonts w:cstheme="minorHAnsi"/>
      <w:bCs/>
      <w:caps/>
    </w:rPr>
  </w:style>
  <w:style w:type="character" w:customStyle="1" w:styleId="29">
    <w:name w:val="尾注文本 字符"/>
    <w:link w:val="10"/>
    <w:qFormat/>
    <w:uiPriority w:val="0"/>
    <w:rPr>
      <w:rFonts w:cs="Times New Roman"/>
    </w:rPr>
  </w:style>
  <w:style w:type="character" w:customStyle="1" w:styleId="30">
    <w:name w:val="标题 4 字符"/>
    <w:link w:val="5"/>
    <w:qFormat/>
    <w:uiPriority w:val="0"/>
    <w:rPr>
      <w:rFonts w:ascii="Arial" w:hAnsi="Arial" w:eastAsia="黑体"/>
      <w:b/>
      <w:sz w:val="28"/>
    </w:rPr>
  </w:style>
  <w:style w:type="paragraph" w:customStyle="1" w:styleId="31">
    <w:name w:val="参考文献"/>
    <w:basedOn w:val="1"/>
    <w:qFormat/>
    <w:uiPriority w:val="0"/>
    <w:pPr>
      <w:numPr>
        <w:ilvl w:val="0"/>
        <w:numId w:val="1"/>
      </w:numPr>
      <w:adjustRightInd w:val="0"/>
      <w:snapToGrid w:val="0"/>
      <w:ind w:left="360" w:hanging="360" w:hangingChars="200"/>
    </w:pPr>
    <w:rPr>
      <w:sz w:val="18"/>
      <w:lang w:val="it-IT"/>
    </w:rPr>
  </w:style>
  <w:style w:type="character" w:customStyle="1" w:styleId="32">
    <w:name w:val="标题 2 字符"/>
    <w:link w:val="3"/>
    <w:qFormat/>
    <w:uiPriority w:val="0"/>
    <w:rPr>
      <w:rFonts w:ascii="Arial" w:hAnsi="Arial" w:eastAsia="Songti SC"/>
      <w:b/>
    </w:rPr>
  </w:style>
  <w:style w:type="character" w:customStyle="1" w:styleId="33">
    <w:name w:val="标题 3 字符"/>
    <w:link w:val="4"/>
    <w:qFormat/>
    <w:uiPriority w:val="0"/>
    <w:rPr>
      <w:rFonts w:eastAsia="宋体"/>
    </w:rPr>
  </w:style>
  <w:style w:type="paragraph" w:styleId="34">
    <w:name w:val="List Paragraph"/>
    <w:basedOn w:val="1"/>
    <w:qFormat/>
    <w:uiPriority w:val="34"/>
    <w:pPr>
      <w:ind w:firstLine="420"/>
    </w:pPr>
  </w:style>
  <w:style w:type="paragraph" w:customStyle="1" w:styleId="35">
    <w:name w:val="p1"/>
    <w:basedOn w:val="1"/>
    <w:qFormat/>
    <w:uiPriority w:val="0"/>
    <w:pPr>
      <w:jc w:val="left"/>
    </w:pPr>
    <w:rPr>
      <w:rFonts w:ascii="Helvetica" w:hAnsi="Helvetica" w:eastAsia="Helvetica" w:cs="Times New Roman"/>
      <w:color w:val="FFFFFF"/>
      <w:kern w:val="0"/>
      <w:sz w:val="26"/>
      <w:szCs w:val="26"/>
      <w:lang w:bidi="ar-SA"/>
    </w:rPr>
  </w:style>
  <w:style w:type="character" w:customStyle="1" w:styleId="36">
    <w:name w:val="批注文字 字符"/>
    <w:basedOn w:val="19"/>
    <w:link w:val="9"/>
    <w:qFormat/>
    <w:uiPriority w:val="0"/>
    <w:rPr>
      <w:rFonts w:cstheme="minorBidi"/>
      <w:kern w:val="2"/>
      <w:sz w:val="21"/>
      <w:szCs w:val="22"/>
      <w:lang w:bidi="en-US"/>
    </w:rPr>
  </w:style>
  <w:style w:type="character" w:customStyle="1" w:styleId="37">
    <w:name w:val="批注主题 字符"/>
    <w:basedOn w:val="36"/>
    <w:link w:val="16"/>
    <w:qFormat/>
    <w:uiPriority w:val="0"/>
    <w:rPr>
      <w:rFonts w:cstheme="minorBidi"/>
      <w:b/>
      <w:bCs/>
      <w:kern w:val="2"/>
      <w:sz w:val="21"/>
      <w:szCs w:val="22"/>
      <w:lang w:bidi="en-US"/>
    </w:rPr>
  </w:style>
  <w:style w:type="paragraph" w:customStyle="1" w:styleId="38">
    <w:name w:val="Revision"/>
    <w:hidden/>
    <w:unhideWhenUsed/>
    <w:qFormat/>
    <w:uiPriority w:val="99"/>
    <w:rPr>
      <w:rFonts w:ascii="Times New Roman" w:hAnsi="Times New Roman" w:eastAsia="宋体" w:cstheme="minorBidi"/>
      <w:kern w:val="2"/>
      <w:sz w:val="21"/>
      <w:szCs w:val="22"/>
      <w:lang w:val="en-US" w:eastAsia="zh-CN" w:bidi="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11049</Words>
  <Characters>12903</Characters>
  <Lines>94</Lines>
  <Paragraphs>26</Paragraphs>
  <TotalTime>10</TotalTime>
  <ScaleCrop>false</ScaleCrop>
  <LinksUpToDate>false</LinksUpToDate>
  <CharactersWithSpaces>13116</CharactersWithSpaces>
  <Application>WPS Office_6.7.1.8828_F1E327BC-269C-435d-A152-05C5408002CA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2024-11-24T11:00:00Z</dcterms:created>
  <dc:creator>牛一凡</dc:creator>
  <cp:lastModifiedBy>牛一凡</cp:lastModifiedBy>
  <cp:lastPrinted>2024-11-18T17:15:00Z</cp:lastPrinted>
  <dcterms:modified xsi:type="dcterms:W3CDTF">2024-11-27T21:57:12Z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2052-6.7.1.8828</vt:lpwstr>
  </property>
  <property fmtid="{D5CDD505-2E9C-101B-9397-08002B2CF9AE}" pid="3" name="ICV">
    <vt:lpwstr>0DDA4AD13295FEC1A72347671059672F_43</vt:lpwstr>
  </property>
</Properties>
</file>